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D162A">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3"/>
        <w:tblW w:w="9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2249"/>
        <w:gridCol w:w="417"/>
        <w:gridCol w:w="790"/>
        <w:gridCol w:w="61"/>
        <w:gridCol w:w="819"/>
        <w:gridCol w:w="1129"/>
        <w:gridCol w:w="2670"/>
      </w:tblGrid>
      <w:tr w14:paraId="7ABB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exact"/>
          <w:jc w:val="center"/>
        </w:trPr>
        <w:tc>
          <w:tcPr>
            <w:tcW w:w="1443" w:type="dxa"/>
            <w:vAlign w:val="center"/>
          </w:tcPr>
          <w:p w14:paraId="22C01E2F">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17" w:type="dxa"/>
            <w:gridSpan w:val="4"/>
            <w:vAlign w:val="center"/>
          </w:tcPr>
          <w:p w14:paraId="1CA7852A">
            <w:pPr>
              <w:spacing w:line="260" w:lineRule="exact"/>
              <w:jc w:val="cente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“头雁”归来</w:t>
            </w:r>
          </w:p>
        </w:tc>
        <w:tc>
          <w:tcPr>
            <w:tcW w:w="1948" w:type="dxa"/>
            <w:gridSpan w:val="2"/>
            <w:vAlign w:val="center"/>
          </w:tcPr>
          <w:p w14:paraId="1A6157DF">
            <w:pPr>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32206BA0">
            <w:pPr>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70" w:type="dxa"/>
            <w:vAlign w:val="center"/>
          </w:tcPr>
          <w:p w14:paraId="4484B084">
            <w:pPr>
              <w:spacing w:line="240" w:lineRule="exact"/>
              <w:jc w:val="center"/>
              <w:rPr>
                <w:rFonts w:hint="eastAsia" w:ascii="仿宋" w:hAnsi="仿宋" w:eastAsia="仿宋"/>
                <w:sz w:val="24"/>
                <w:szCs w:val="24"/>
              </w:rPr>
            </w:pPr>
            <w:r>
              <w:rPr>
                <w:rFonts w:hint="eastAsia" w:ascii="仿宋" w:hAnsi="仿宋" w:eastAsia="仿宋"/>
                <w:sz w:val="24"/>
                <w:szCs w:val="24"/>
                <w:lang w:eastAsia="zh-CN"/>
              </w:rPr>
              <w:t>副刊作品（</w:t>
            </w:r>
            <w:r>
              <w:rPr>
                <w:rFonts w:hint="eastAsia" w:ascii="仿宋" w:hAnsi="仿宋" w:eastAsia="仿宋"/>
                <w:sz w:val="24"/>
                <w:szCs w:val="24"/>
                <w:lang w:val="en-US" w:eastAsia="zh-CN"/>
              </w:rPr>
              <w:t>报纸</w:t>
            </w:r>
            <w:r>
              <w:rPr>
                <w:rFonts w:hint="eastAsia" w:ascii="仿宋" w:hAnsi="仿宋" w:eastAsia="仿宋"/>
                <w:sz w:val="24"/>
                <w:szCs w:val="24"/>
                <w:lang w:eastAsia="zh-CN"/>
              </w:rPr>
              <w:t>）</w:t>
            </w:r>
          </w:p>
        </w:tc>
      </w:tr>
      <w:tr w14:paraId="2308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443" w:type="dxa"/>
            <w:vAlign w:val="center"/>
          </w:tcPr>
          <w:p w14:paraId="2216DD00">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w:t>
            </w:r>
          </w:p>
        </w:tc>
        <w:tc>
          <w:tcPr>
            <w:tcW w:w="3517" w:type="dxa"/>
            <w:gridSpan w:val="4"/>
            <w:vAlign w:val="center"/>
          </w:tcPr>
          <w:p w14:paraId="77349C8E">
            <w:pPr>
              <w:spacing w:line="260" w:lineRule="exact"/>
              <w:jc w:val="center"/>
              <w:rPr>
                <w:rFonts w:hint="default"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4842字</w:t>
            </w:r>
          </w:p>
        </w:tc>
        <w:tc>
          <w:tcPr>
            <w:tcW w:w="1948" w:type="dxa"/>
            <w:gridSpan w:val="2"/>
            <w:vAlign w:val="center"/>
          </w:tcPr>
          <w:p w14:paraId="1B8B7D25">
            <w:pPr>
              <w:spacing w:line="38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2670" w:type="dxa"/>
            <w:vAlign w:val="center"/>
          </w:tcPr>
          <w:p w14:paraId="013BAF01">
            <w:pPr>
              <w:spacing w:line="240" w:lineRule="exact"/>
              <w:jc w:val="center"/>
              <w:rPr>
                <w:rFonts w:hint="default" w:ascii="仿宋" w:hAnsi="仿宋" w:eastAsia="仿宋"/>
                <w:sz w:val="24"/>
                <w:szCs w:val="24"/>
                <w:lang w:val="en-US" w:eastAsia="zh-CN"/>
              </w:rPr>
            </w:pPr>
            <w:r>
              <w:rPr>
                <w:rFonts w:hint="eastAsia" w:ascii="仿宋" w:hAnsi="仿宋" w:eastAsia="仿宋"/>
                <w:sz w:val="24"/>
                <w:szCs w:val="24"/>
                <w:lang w:val="en-US" w:eastAsia="zh-CN"/>
              </w:rPr>
              <w:t>报告文学</w:t>
            </w:r>
          </w:p>
        </w:tc>
      </w:tr>
      <w:tr w14:paraId="4B9A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443" w:type="dxa"/>
            <w:vAlign w:val="center"/>
          </w:tcPr>
          <w:p w14:paraId="61876195">
            <w:pPr>
              <w:spacing w:line="32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C7B1937">
            <w:pPr>
              <w:spacing w:line="32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2666" w:type="dxa"/>
            <w:gridSpan w:val="2"/>
            <w:vAlign w:val="center"/>
          </w:tcPr>
          <w:p w14:paraId="0535ADB4">
            <w:pPr>
              <w:spacing w:line="260" w:lineRule="exact"/>
              <w:jc w:val="cente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祝卫明</w:t>
            </w:r>
          </w:p>
        </w:tc>
        <w:tc>
          <w:tcPr>
            <w:tcW w:w="851" w:type="dxa"/>
            <w:gridSpan w:val="2"/>
            <w:vAlign w:val="center"/>
          </w:tcPr>
          <w:p w14:paraId="6905512A">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4618" w:type="dxa"/>
            <w:gridSpan w:val="3"/>
            <w:vAlign w:val="center"/>
          </w:tcPr>
          <w:p w14:paraId="0540649F">
            <w:pPr>
              <w:spacing w:line="240" w:lineRule="exact"/>
              <w:jc w:val="center"/>
              <w:rPr>
                <w:rFonts w:hint="eastAsia" w:ascii="仿宋" w:hAnsi="仿宋" w:eastAsia="仿宋" w:cs="Times New Roman"/>
                <w:color w:val="000000"/>
                <w:w w:val="95"/>
                <w:sz w:val="32"/>
                <w:szCs w:val="21"/>
              </w:rPr>
            </w:pPr>
            <w:r>
              <w:rPr>
                <w:rFonts w:hint="eastAsia" w:ascii="仿宋" w:hAnsi="仿宋" w:eastAsia="仿宋"/>
                <w:sz w:val="24"/>
                <w:szCs w:val="24"/>
              </w:rPr>
              <w:t>陈文革</w:t>
            </w:r>
            <w:r>
              <w:rPr>
                <w:rFonts w:hint="eastAsia" w:ascii="仿宋" w:hAnsi="仿宋" w:eastAsia="仿宋"/>
                <w:sz w:val="24"/>
                <w:szCs w:val="24"/>
                <w:lang w:eastAsia="zh-CN"/>
              </w:rPr>
              <w:t>、</w:t>
            </w:r>
            <w:r>
              <w:rPr>
                <w:rFonts w:hint="eastAsia" w:ascii="仿宋" w:hAnsi="仿宋" w:eastAsia="仿宋"/>
                <w:sz w:val="24"/>
                <w:szCs w:val="24"/>
              </w:rPr>
              <w:t>艾建新</w:t>
            </w:r>
          </w:p>
        </w:tc>
      </w:tr>
      <w:tr w14:paraId="622D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443" w:type="dxa"/>
            <w:vAlign w:val="center"/>
          </w:tcPr>
          <w:p w14:paraId="541422A5">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66" w:type="dxa"/>
            <w:gridSpan w:val="2"/>
            <w:vAlign w:val="center"/>
          </w:tcPr>
          <w:p w14:paraId="07DB9C2A">
            <w:pPr>
              <w:spacing w:line="260" w:lineRule="exact"/>
              <w:jc w:val="cente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鹰潭市融媒体中心</w:t>
            </w:r>
          </w:p>
        </w:tc>
        <w:tc>
          <w:tcPr>
            <w:tcW w:w="1670" w:type="dxa"/>
            <w:gridSpan w:val="3"/>
            <w:vAlign w:val="center"/>
          </w:tcPr>
          <w:p w14:paraId="104DE0D6">
            <w:pPr>
              <w:spacing w:line="260" w:lineRule="exact"/>
              <w:rPr>
                <w:rFonts w:hint="eastAsia" w:ascii="华文中宋" w:hAnsi="华文中宋" w:eastAsia="华文中宋" w:cs="Times New Roman"/>
                <w:color w:val="000000"/>
                <w:sz w:val="18"/>
              </w:rPr>
            </w:pPr>
            <w:r>
              <w:rPr>
                <w:rFonts w:hint="eastAsia" w:ascii="华文中宋" w:hAnsi="华文中宋" w:eastAsia="华文中宋" w:cs="Times New Roman"/>
                <w:color w:val="000000"/>
                <w:sz w:val="18"/>
              </w:rPr>
              <w:t>发布端/账号/</w:t>
            </w:r>
          </w:p>
          <w:p w14:paraId="600111FD">
            <w:pPr>
              <w:spacing w:line="260" w:lineRule="exact"/>
              <w:rPr>
                <w:rFonts w:hint="eastAsia" w:ascii="仿宋_GB2312" w:hAnsi="仿宋" w:eastAsia="仿宋_GB2312" w:cs="Times New Roman"/>
                <w:color w:val="000000"/>
                <w:sz w:val="18"/>
                <w:szCs w:val="18"/>
                <w:highlight w:val="green"/>
              </w:rPr>
            </w:pPr>
            <w:r>
              <w:rPr>
                <w:rFonts w:hint="eastAsia" w:ascii="华文中宋" w:hAnsi="华文中宋" w:eastAsia="华文中宋" w:cs="Times New Roman"/>
                <w:color w:val="000000"/>
                <w:sz w:val="18"/>
              </w:rPr>
              <w:t>媒体名称</w:t>
            </w:r>
          </w:p>
        </w:tc>
        <w:tc>
          <w:tcPr>
            <w:tcW w:w="3799" w:type="dxa"/>
            <w:gridSpan w:val="2"/>
            <w:vAlign w:val="center"/>
          </w:tcPr>
          <w:p w14:paraId="47265A18">
            <w:pPr>
              <w:spacing w:line="260" w:lineRule="exact"/>
              <w:jc w:val="center"/>
              <w:rPr>
                <w:rFonts w:hint="eastAsia" w:ascii="仿宋_GB2312" w:hAnsi="仿宋" w:eastAsia="仿宋_GB2312" w:cs="Times New Roman"/>
                <w:color w:val="000000"/>
                <w:sz w:val="18"/>
                <w:szCs w:val="18"/>
                <w:highlight w:val="green"/>
              </w:rPr>
            </w:pPr>
            <w:r>
              <w:rPr>
                <w:rFonts w:hint="eastAsia" w:ascii="仿宋" w:hAnsi="仿宋" w:eastAsia="仿宋" w:cs="仿宋"/>
                <w:color w:val="000000"/>
                <w:sz w:val="24"/>
                <w:szCs w:val="18"/>
                <w:lang w:eastAsia="zh-CN"/>
              </w:rPr>
              <w:t>鹰潭</w:t>
            </w:r>
            <w:r>
              <w:rPr>
                <w:rFonts w:hint="eastAsia" w:ascii="仿宋" w:hAnsi="仿宋" w:eastAsia="仿宋" w:cs="仿宋"/>
                <w:color w:val="000000"/>
                <w:sz w:val="24"/>
                <w:szCs w:val="18"/>
                <w:lang w:val="en-US" w:eastAsia="zh-CN"/>
              </w:rPr>
              <w:t>日报</w:t>
            </w:r>
          </w:p>
        </w:tc>
      </w:tr>
      <w:tr w14:paraId="1F69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jc w:val="center"/>
        </w:trPr>
        <w:tc>
          <w:tcPr>
            <w:tcW w:w="1443" w:type="dxa"/>
            <w:vAlign w:val="center"/>
          </w:tcPr>
          <w:p w14:paraId="4A254E5F">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2666" w:type="dxa"/>
            <w:gridSpan w:val="2"/>
            <w:vAlign w:val="center"/>
          </w:tcPr>
          <w:p w14:paraId="0E49EDC5">
            <w:pPr>
              <w:spacing w:line="260" w:lineRule="exact"/>
              <w:jc w:val="center"/>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龙虎山版</w:t>
            </w:r>
          </w:p>
        </w:tc>
        <w:tc>
          <w:tcPr>
            <w:tcW w:w="851" w:type="dxa"/>
            <w:gridSpan w:val="2"/>
            <w:vAlign w:val="center"/>
          </w:tcPr>
          <w:p w14:paraId="5CC13C64">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4618" w:type="dxa"/>
            <w:gridSpan w:val="3"/>
            <w:vAlign w:val="center"/>
          </w:tcPr>
          <w:p w14:paraId="5D0B8945">
            <w:pPr>
              <w:spacing w:line="260" w:lineRule="exact"/>
              <w:jc w:val="center"/>
              <w:rPr>
                <w:rFonts w:hint="eastAsia" w:ascii="仿宋_GB2312" w:hAnsi="仿宋" w:eastAsia="仿宋_GB2312" w:cs="Times New Roman"/>
                <w:color w:val="000000"/>
                <w:sz w:val="32"/>
                <w:szCs w:val="21"/>
              </w:rPr>
            </w:pPr>
            <w:r>
              <w:rPr>
                <w:rFonts w:hint="eastAsia" w:ascii="仿宋" w:hAnsi="仿宋" w:eastAsia="仿宋" w:cs="仿宋"/>
                <w:color w:val="000000"/>
                <w:sz w:val="24"/>
                <w:szCs w:val="18"/>
                <w:lang w:val="en-US" w:eastAsia="zh-CN"/>
              </w:rPr>
              <w:t>2024年12月26日</w:t>
            </w:r>
          </w:p>
        </w:tc>
      </w:tr>
      <w:tr w14:paraId="2867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jc w:val="center"/>
        </w:trPr>
        <w:tc>
          <w:tcPr>
            <w:tcW w:w="1443" w:type="dxa"/>
            <w:vAlign w:val="center"/>
          </w:tcPr>
          <w:p w14:paraId="485E61B9">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49469BE2">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72A033EA">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26EAB78F">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1679D4AD">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223B42E9">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135" w:type="dxa"/>
            <w:gridSpan w:val="7"/>
            <w:vAlign w:val="center"/>
          </w:tcPr>
          <w:p w14:paraId="70615ACA">
            <w:pPr>
              <w:keepNext w:val="0"/>
              <w:keepLines w:val="0"/>
              <w:pageBreakBefore w:val="0"/>
              <w:widowControl w:val="0"/>
              <w:kinsoku/>
              <w:wordWrap/>
              <w:overflowPunct/>
              <w:topLinePunct w:val="0"/>
              <w:autoSpaceDE/>
              <w:autoSpaceDN/>
              <w:bidi w:val="0"/>
              <w:adjustRightInd/>
              <w:snapToGrid/>
              <w:ind w:firstLine="420"/>
              <w:textAlignment w:val="auto"/>
              <w:rPr>
                <w:rFonts w:hint="eastAsia" w:ascii="仿宋" w:hAnsi="仿宋" w:eastAsia="仿宋" w:cs="Times New Roman"/>
                <w:color w:val="000000"/>
                <w:w w:val="95"/>
                <w:sz w:val="32"/>
                <w:szCs w:val="21"/>
              </w:rPr>
            </w:pPr>
            <w:r>
              <w:rPr>
                <w:rFonts w:hint="eastAsia" w:ascii="仿宋" w:hAnsi="仿宋" w:eastAsia="仿宋" w:cs="仿宋"/>
                <w:color w:val="3B3838" w:themeColor="background2" w:themeShade="40"/>
                <w:sz w:val="21"/>
                <w:szCs w:val="21"/>
              </w:rPr>
              <w:t>作品讲述了优秀共产党员童火才响应家乡号召，不当董事长，回乡当村官，充分发挥党组织战斗堡垒和归乡“领头雁”作用，带领家乡人民改变村庄面貌、增收致富、促进城乡共同繁荣发展的感人故事，展现出中国乡村全面振兴、一派欣欣向荣的崭新气象。鹰潭市余江区中童镇乘龙村高石塘组每年接待全国各地考察团100多批次。全国政协、中央改革办等单位领导专程深入该村调研，对当地改革成果给予高度评价。为了发掘宣传好这一重大典型，记者花费8个多月时间、蹲点乘龙村进行“沉浸式”跟踪采访，亲眼见证了童火才带领干部群众攻坚克难的感人故事、真实记录了全市“后进村”变全国“示范村”的改革奇迹，作品历经27次补充完善、反复打磨终于定稿。</w:t>
            </w:r>
          </w:p>
        </w:tc>
      </w:tr>
      <w:tr w14:paraId="6393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3" w:hRule="exact"/>
          <w:jc w:val="center"/>
        </w:trPr>
        <w:tc>
          <w:tcPr>
            <w:tcW w:w="1443" w:type="dxa"/>
            <w:vAlign w:val="center"/>
          </w:tcPr>
          <w:p w14:paraId="6F167C74">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11315BA9">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50C51EA3">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084553D5">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135" w:type="dxa"/>
            <w:gridSpan w:val="7"/>
            <w:vAlign w:val="center"/>
          </w:tcPr>
          <w:p w14:paraId="76CCA7B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s="仿宋"/>
                <w:color w:val="3B3838" w:themeColor="background2" w:themeShade="40"/>
                <w:sz w:val="21"/>
                <w:szCs w:val="21"/>
              </w:rPr>
            </w:pPr>
            <w:r>
              <w:rPr>
                <w:rFonts w:hint="eastAsia" w:ascii="仿宋" w:hAnsi="仿宋" w:eastAsia="仿宋" w:cs="仿宋"/>
                <w:color w:val="3B3838" w:themeColor="background2" w:themeShade="40"/>
                <w:sz w:val="21"/>
                <w:szCs w:val="21"/>
              </w:rPr>
              <w:t>习近平总书记指出，城乡融合发展是中国式现代化的必然要求。必须统筹新型工业化、新型城镇化和乡村全面振兴，全面提高城乡规划、建设、治理融合水平，促进城乡要素平等交换、双向流动，缩小城乡差别，促进城乡共同繁荣发展。</w:t>
            </w:r>
          </w:p>
          <w:p w14:paraId="47842E09">
            <w:pPr>
              <w:keepNext w:val="0"/>
              <w:keepLines w:val="0"/>
              <w:pageBreakBefore w:val="0"/>
              <w:widowControl w:val="0"/>
              <w:kinsoku/>
              <w:wordWrap/>
              <w:overflowPunct/>
              <w:topLinePunct w:val="0"/>
              <w:autoSpaceDE/>
              <w:autoSpaceDN/>
              <w:bidi w:val="0"/>
              <w:adjustRightInd/>
              <w:snapToGrid/>
              <w:ind w:firstLine="420"/>
              <w:textAlignment w:val="auto"/>
              <w:rPr>
                <w:rFonts w:hint="eastAsia" w:ascii="仿宋" w:hAnsi="仿宋" w:eastAsia="仿宋" w:cs="Times New Roman"/>
                <w:color w:val="000000"/>
                <w:sz w:val="32"/>
                <w:szCs w:val="21"/>
              </w:rPr>
            </w:pPr>
            <w:r>
              <w:rPr>
                <w:rFonts w:hint="eastAsia" w:ascii="仿宋" w:hAnsi="仿宋" w:eastAsia="仿宋" w:cs="仿宋"/>
                <w:color w:val="3B3838" w:themeColor="background2" w:themeShade="40"/>
                <w:sz w:val="21"/>
                <w:szCs w:val="21"/>
              </w:rPr>
              <w:t>鹰潭市</w:t>
            </w:r>
            <w:r>
              <w:rPr>
                <w:rFonts w:hint="eastAsia" w:ascii="仿宋" w:hAnsi="仿宋" w:eastAsia="仿宋" w:cs="仿宋"/>
                <w:color w:val="3B3838" w:themeColor="background2" w:themeShade="40"/>
                <w:sz w:val="21"/>
                <w:szCs w:val="21"/>
                <w:lang w:val="en-US" w:eastAsia="zh-CN"/>
              </w:rPr>
              <w:t>是</w:t>
            </w:r>
            <w:r>
              <w:rPr>
                <w:rFonts w:hint="eastAsia" w:ascii="仿宋" w:hAnsi="仿宋" w:eastAsia="仿宋" w:cs="仿宋"/>
                <w:color w:val="3B3838" w:themeColor="background2" w:themeShade="40"/>
                <w:sz w:val="21"/>
                <w:szCs w:val="21"/>
              </w:rPr>
              <w:t>首批国家城乡融合发展试验区，是全国11个国家城乡融合发展试验区中两个全域列入的城市之一，是江西省唯一一个列入国家城乡融合发展试验区的城市。</w:t>
            </w:r>
            <w:r>
              <w:rPr>
                <w:rFonts w:hint="eastAsia" w:ascii="仿宋" w:hAnsi="仿宋" w:eastAsia="仿宋" w:cs="仿宋"/>
                <w:color w:val="3B3838" w:themeColor="background2" w:themeShade="40"/>
                <w:sz w:val="21"/>
                <w:szCs w:val="21"/>
                <w:lang w:val="en-US" w:eastAsia="zh-CN"/>
              </w:rPr>
              <w:t>试点以来，鹰潭大胆创新，先行先试，取得了丰硕成果。2024</w:t>
            </w:r>
            <w:r>
              <w:rPr>
                <w:rFonts w:hint="eastAsia" w:ascii="仿宋" w:hAnsi="仿宋" w:eastAsia="仿宋" w:cs="仿宋"/>
                <w:color w:val="3B3838" w:themeColor="background2" w:themeShade="40"/>
                <w:sz w:val="21"/>
                <w:szCs w:val="21"/>
              </w:rPr>
              <w:t>年6月4日至6日，国家城乡融合发展试验区现场会在鹰潭市举行</w:t>
            </w:r>
            <w:r>
              <w:rPr>
                <w:rFonts w:hint="eastAsia" w:ascii="仿宋" w:hAnsi="仿宋" w:eastAsia="仿宋" w:cs="仿宋"/>
                <w:color w:val="3B3838" w:themeColor="background2" w:themeShade="40"/>
                <w:sz w:val="21"/>
                <w:szCs w:val="21"/>
                <w:lang w:eastAsia="zh-CN"/>
              </w:rPr>
              <w:t>，参观点</w:t>
            </w:r>
            <w:r>
              <w:rPr>
                <w:rFonts w:hint="eastAsia" w:ascii="仿宋" w:hAnsi="仿宋" w:eastAsia="仿宋" w:cs="仿宋"/>
                <w:color w:val="3B3838" w:themeColor="background2" w:themeShade="40"/>
                <w:sz w:val="21"/>
                <w:szCs w:val="21"/>
                <w:lang w:val="en-US" w:eastAsia="zh-CN"/>
              </w:rPr>
              <w:t>乘龙村格外引人瞩目</w:t>
            </w:r>
            <w:r>
              <w:rPr>
                <w:rFonts w:hint="eastAsia" w:ascii="仿宋" w:hAnsi="仿宋" w:eastAsia="仿宋" w:cs="仿宋"/>
                <w:color w:val="3B3838" w:themeColor="background2" w:themeShade="40"/>
                <w:sz w:val="21"/>
                <w:szCs w:val="21"/>
                <w:lang w:eastAsia="zh-CN"/>
              </w:rPr>
              <w:t>。</w:t>
            </w:r>
            <w:r>
              <w:rPr>
                <w:rFonts w:hint="eastAsia" w:ascii="仿宋" w:hAnsi="仿宋" w:eastAsia="仿宋" w:cs="仿宋"/>
                <w:color w:val="3B3838" w:themeColor="background2" w:themeShade="40"/>
                <w:sz w:val="21"/>
                <w:szCs w:val="21"/>
                <w:lang w:val="en-US" w:eastAsia="zh-CN"/>
              </w:rPr>
              <w:t>该作品成功塑造了一个信念坚定、为民服务、勤政务实、敢于担当、清正廉洁的新时期好干部形象，一个热爱家乡、奉献桑梓、朴实无华、血肉丰满的村党支部书记形象。作品</w:t>
            </w:r>
            <w:r>
              <w:rPr>
                <w:rFonts w:hint="eastAsia" w:ascii="仿宋" w:hAnsi="仿宋" w:eastAsia="仿宋" w:cs="仿宋"/>
                <w:color w:val="3B3838" w:themeColor="background2" w:themeShade="40"/>
                <w:sz w:val="21"/>
                <w:szCs w:val="21"/>
              </w:rPr>
              <w:t>内容翔实、由点及面、见人见事，</w:t>
            </w:r>
            <w:r>
              <w:rPr>
                <w:rFonts w:hint="eastAsia" w:ascii="仿宋" w:hAnsi="仿宋" w:eastAsia="仿宋" w:cs="仿宋"/>
                <w:color w:val="3B3838" w:themeColor="background2" w:themeShade="40"/>
                <w:sz w:val="21"/>
                <w:szCs w:val="21"/>
                <w:lang w:eastAsia="zh-CN"/>
              </w:rPr>
              <w:t>在</w:t>
            </w:r>
            <w:r>
              <w:rPr>
                <w:rFonts w:hint="eastAsia" w:ascii="仿宋" w:hAnsi="仿宋" w:eastAsia="仿宋" w:cs="仿宋"/>
                <w:color w:val="3B3838" w:themeColor="background2" w:themeShade="40"/>
                <w:sz w:val="21"/>
                <w:szCs w:val="21"/>
                <w:lang w:val="en-US" w:eastAsia="zh-CN"/>
              </w:rPr>
              <w:t>学习强国、“鹰视天下”客户端等各级主流媒体转载转发，社会反响强烈。</w:t>
            </w:r>
          </w:p>
        </w:tc>
      </w:tr>
      <w:tr w14:paraId="4CD4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1" w:hRule="exact"/>
          <w:jc w:val="center"/>
        </w:trPr>
        <w:tc>
          <w:tcPr>
            <w:tcW w:w="1443" w:type="dxa"/>
            <w:tcBorders>
              <w:bottom w:val="single" w:color="auto" w:sz="4" w:space="0"/>
            </w:tcBorders>
            <w:vAlign w:val="center"/>
          </w:tcPr>
          <w:p w14:paraId="4E8B569D">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25192D3D">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w:t>
            </w:r>
          </w:p>
          <w:p w14:paraId="3B008717">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荐</w:t>
            </w:r>
          </w:p>
          <w:p w14:paraId="0B40D154">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理</w:t>
            </w:r>
          </w:p>
          <w:p w14:paraId="0DF0F823">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由</w:t>
            </w:r>
          </w:p>
          <w:p w14:paraId="02F49EA1">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135" w:type="dxa"/>
            <w:gridSpan w:val="7"/>
            <w:tcBorders>
              <w:bottom w:val="single" w:color="auto" w:sz="4" w:space="0"/>
            </w:tcBorders>
            <w:vAlign w:val="center"/>
          </w:tcPr>
          <w:p w14:paraId="2DABA7E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华文中宋" w:hAnsi="华文中宋" w:eastAsia="华文中宋" w:cs="Times New Roman"/>
                <w:color w:val="000000"/>
                <w:spacing w:val="-2"/>
                <w:sz w:val="28"/>
              </w:rPr>
            </w:pPr>
            <w:r>
              <w:rPr>
                <w:rFonts w:hint="eastAsia" w:ascii="仿宋" w:hAnsi="仿宋" w:eastAsia="仿宋" w:cs="仿宋"/>
                <w:color w:val="3B3838" w:themeColor="background2" w:themeShade="40"/>
                <w:sz w:val="21"/>
                <w:szCs w:val="21"/>
              </w:rPr>
              <w:t>该作品题材重大</w:t>
            </w:r>
            <w:r>
              <w:rPr>
                <w:rFonts w:hint="eastAsia" w:ascii="仿宋" w:hAnsi="仿宋" w:eastAsia="仿宋" w:cs="仿宋"/>
                <w:color w:val="3B3838" w:themeColor="background2" w:themeShade="40"/>
                <w:sz w:val="21"/>
                <w:szCs w:val="21"/>
                <w:lang w:eastAsia="zh-CN"/>
              </w:rPr>
              <w:t>、</w:t>
            </w:r>
            <w:r>
              <w:rPr>
                <w:rFonts w:hint="eastAsia" w:ascii="仿宋" w:hAnsi="仿宋" w:eastAsia="仿宋" w:cs="仿宋"/>
                <w:color w:val="3B3838" w:themeColor="background2" w:themeShade="40"/>
                <w:sz w:val="21"/>
                <w:szCs w:val="21"/>
              </w:rPr>
              <w:t>主题鲜明、立意深远</w:t>
            </w:r>
            <w:r>
              <w:rPr>
                <w:rFonts w:hint="eastAsia" w:ascii="仿宋" w:hAnsi="仿宋" w:eastAsia="仿宋" w:cs="仿宋"/>
                <w:color w:val="3B3838" w:themeColor="background2" w:themeShade="40"/>
                <w:sz w:val="21"/>
                <w:szCs w:val="21"/>
                <w:lang w:val="en-US" w:eastAsia="zh-CN"/>
              </w:rPr>
              <w:t>、逻辑严密、层次分明。在选题上，通过小切口、平视角方式，巧妙反映了在全国上下深入贯彻党的二十届三中全会精神、推动进一步深化改革走深走实的时代潮流中，首批国家城乡融合发展试验区建设在江西鹰潭率先开花结果的重大事件。在内容上，</w:t>
            </w:r>
            <w:r>
              <w:rPr>
                <w:rFonts w:hint="eastAsia" w:ascii="仿宋" w:hAnsi="仿宋" w:eastAsia="仿宋" w:cs="仿宋"/>
                <w:color w:val="3B3838" w:themeColor="background2" w:themeShade="40"/>
                <w:sz w:val="21"/>
                <w:szCs w:val="21"/>
              </w:rPr>
              <w:t>人物鲜活</w:t>
            </w:r>
            <w:r>
              <w:rPr>
                <w:rFonts w:hint="eastAsia" w:ascii="仿宋" w:hAnsi="仿宋" w:eastAsia="仿宋" w:cs="仿宋"/>
                <w:color w:val="3B3838" w:themeColor="background2" w:themeShade="40"/>
                <w:sz w:val="21"/>
                <w:szCs w:val="21"/>
                <w:lang w:eastAsia="zh-CN"/>
              </w:rPr>
              <w:t>、</w:t>
            </w:r>
            <w:r>
              <w:rPr>
                <w:rFonts w:hint="eastAsia" w:ascii="仿宋" w:hAnsi="仿宋" w:eastAsia="仿宋" w:cs="仿宋"/>
                <w:color w:val="3B3838" w:themeColor="background2" w:themeShade="40"/>
                <w:sz w:val="21"/>
                <w:szCs w:val="21"/>
                <w:lang w:val="en-US" w:eastAsia="zh-CN"/>
              </w:rPr>
              <w:t>故事生动、情感</w:t>
            </w:r>
            <w:r>
              <w:rPr>
                <w:rFonts w:hint="eastAsia" w:ascii="仿宋" w:hAnsi="仿宋" w:eastAsia="仿宋" w:cs="仿宋"/>
                <w:color w:val="3B3838" w:themeColor="background2" w:themeShade="40"/>
                <w:sz w:val="21"/>
                <w:szCs w:val="21"/>
              </w:rPr>
              <w:t>饱满</w:t>
            </w:r>
            <w:r>
              <w:rPr>
                <w:rFonts w:hint="eastAsia" w:ascii="仿宋" w:hAnsi="仿宋" w:eastAsia="仿宋" w:cs="仿宋"/>
                <w:color w:val="3B3838" w:themeColor="background2" w:themeShade="40"/>
                <w:sz w:val="21"/>
                <w:szCs w:val="21"/>
                <w:lang w:eastAsia="zh-CN"/>
              </w:rPr>
              <w:t>、细节丰富，</w:t>
            </w:r>
            <w:r>
              <w:rPr>
                <w:rFonts w:hint="eastAsia" w:ascii="仿宋" w:hAnsi="仿宋" w:eastAsia="仿宋" w:cs="仿宋"/>
                <w:color w:val="3B3838" w:themeColor="background2" w:themeShade="40"/>
                <w:sz w:val="21"/>
                <w:szCs w:val="21"/>
              </w:rPr>
              <w:t>极富感染力</w:t>
            </w:r>
            <w:r>
              <w:rPr>
                <w:rFonts w:hint="eastAsia" w:ascii="仿宋" w:hAnsi="仿宋" w:eastAsia="仿宋" w:cs="仿宋"/>
                <w:color w:val="3B3838" w:themeColor="background2" w:themeShade="40"/>
                <w:sz w:val="21"/>
                <w:szCs w:val="21"/>
                <w:lang w:val="en-US" w:eastAsia="zh-CN"/>
              </w:rPr>
              <w:t>，</w:t>
            </w:r>
            <w:r>
              <w:rPr>
                <w:rFonts w:hint="eastAsia" w:ascii="仿宋" w:hAnsi="仿宋" w:eastAsia="仿宋" w:cs="仿宋"/>
                <w:color w:val="3B3838" w:themeColor="background2" w:themeShade="40"/>
                <w:sz w:val="21"/>
                <w:szCs w:val="21"/>
              </w:rPr>
              <w:t>新闻性、思想性和艺术性</w:t>
            </w:r>
            <w:r>
              <w:rPr>
                <w:rFonts w:hint="eastAsia" w:ascii="仿宋" w:hAnsi="仿宋" w:eastAsia="仿宋" w:cs="仿宋"/>
                <w:color w:val="3B3838" w:themeColor="background2" w:themeShade="40"/>
                <w:sz w:val="21"/>
                <w:szCs w:val="21"/>
                <w:lang w:eastAsia="zh-CN"/>
              </w:rPr>
              <w:t>都较强</w:t>
            </w:r>
            <w:r>
              <w:rPr>
                <w:rFonts w:hint="eastAsia" w:ascii="仿宋" w:hAnsi="仿宋" w:eastAsia="仿宋" w:cs="仿宋"/>
                <w:color w:val="3B3838" w:themeColor="background2" w:themeShade="40"/>
                <w:sz w:val="21"/>
                <w:szCs w:val="21"/>
              </w:rPr>
              <w:t>。该作品传播广泛、</w:t>
            </w:r>
            <w:r>
              <w:rPr>
                <w:rFonts w:hint="eastAsia" w:ascii="仿宋" w:hAnsi="仿宋" w:eastAsia="仿宋" w:cs="仿宋"/>
                <w:color w:val="3B3838" w:themeColor="background2" w:themeShade="40"/>
                <w:sz w:val="21"/>
                <w:szCs w:val="21"/>
                <w:lang w:eastAsia="zh-CN"/>
              </w:rPr>
              <w:t>感人至深，反响积极、影响深远，不仅成功塑造了新时期好干部、好支书形象，还积极推广了鹰潭先行先试取得的宝贵改革经验。</w:t>
            </w:r>
            <w:r>
              <w:rPr>
                <w:rFonts w:hint="eastAsia" w:ascii="华文中宋" w:hAnsi="华文中宋" w:eastAsia="华文中宋" w:cs="Times New Roman"/>
                <w:color w:val="000000"/>
                <w:spacing w:val="-2"/>
                <w:sz w:val="28"/>
              </w:rPr>
              <w:t xml:space="preserve">                      </w:t>
            </w:r>
          </w:p>
          <w:p w14:paraId="1D38B2B0">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华文中宋" w:hAnsi="华文中宋" w:eastAsia="华文中宋" w:cs="Times New Roman"/>
                <w:color w:val="000000"/>
                <w:sz w:val="28"/>
              </w:rPr>
            </w:pPr>
            <w:r>
              <w:rPr>
                <w:rFonts w:hint="eastAsia" w:ascii="华文中宋" w:hAnsi="华文中宋" w:eastAsia="华文中宋" w:cs="Times New Roman"/>
                <w:color w:val="000000"/>
                <w:spacing w:val="-2"/>
                <w:sz w:val="28"/>
              </w:rPr>
              <w:t xml:space="preserve">                   签名：</w:t>
            </w:r>
            <w:r>
              <w:rPr>
                <w:rFonts w:hint="eastAsia" w:ascii="华文中宋" w:hAnsi="华文中宋" w:eastAsia="华文中宋" w:cs="Times New Roman"/>
                <w:color w:val="000000"/>
                <w:spacing w:val="-2"/>
                <w:sz w:val="28"/>
                <w:lang w:val="en-US" w:eastAsia="zh-CN"/>
              </w:rPr>
              <w:t xml:space="preserve">                </w:t>
            </w:r>
            <w:r>
              <w:rPr>
                <w:rFonts w:hint="eastAsia" w:ascii="华文中宋" w:hAnsi="华文中宋" w:eastAsia="华文中宋" w:cs="Times New Roman"/>
                <w:color w:val="000000"/>
                <w:sz w:val="28"/>
              </w:rPr>
              <w:t>（盖单位公章）</w:t>
            </w:r>
          </w:p>
          <w:p w14:paraId="798A5FF8">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Times New Roman"/>
                <w:color w:val="000000"/>
                <w:sz w:val="32"/>
                <w:szCs w:val="21"/>
              </w:rPr>
            </w:pPr>
            <w:r>
              <w:rPr>
                <w:rFonts w:hint="eastAsia" w:ascii="仿宋_GB2312" w:hAnsi="Calibri" w:eastAsia="仿宋_GB2312" w:cs="Times New Roman"/>
                <w:color w:val="000000"/>
                <w:sz w:val="28"/>
              </w:rPr>
              <w:t xml:space="preserve">                                </w:t>
            </w:r>
            <w:r>
              <w:rPr>
                <w:rFonts w:hint="eastAsia" w:ascii="仿宋_GB2312" w:cs="Times New Roman"/>
                <w:color w:val="000000"/>
                <w:sz w:val="28"/>
                <w:lang w:val="en-US" w:eastAsia="zh-CN"/>
              </w:rPr>
              <w:t xml:space="preserve">     </w:t>
            </w:r>
            <w:r>
              <w:rPr>
                <w:rFonts w:hint="eastAsia" w:ascii="华文中宋" w:hAnsi="华文中宋" w:eastAsia="华文中宋" w:cs="华文中宋"/>
                <w:color w:val="000000"/>
                <w:sz w:val="28"/>
                <w:lang w:val="en-US" w:eastAsia="zh-CN"/>
              </w:rPr>
              <w:t>2025</w:t>
            </w:r>
            <w:r>
              <w:rPr>
                <w:rFonts w:hint="eastAsia" w:ascii="华文中宋" w:hAnsi="华文中宋" w:eastAsia="华文中宋" w:cs="华文中宋"/>
                <w:color w:val="000000"/>
                <w:sz w:val="28"/>
              </w:rPr>
              <w:t>年</w:t>
            </w:r>
            <w:r>
              <w:rPr>
                <w:rFonts w:hint="eastAsia" w:ascii="华文中宋" w:hAnsi="华文中宋" w:eastAsia="华文中宋" w:cs="华文中宋"/>
                <w:color w:val="000000"/>
                <w:sz w:val="28"/>
                <w:lang w:val="en-US" w:eastAsia="zh-CN"/>
              </w:rPr>
              <w:t>2</w:t>
            </w:r>
            <w:r>
              <w:rPr>
                <w:rFonts w:hint="eastAsia" w:ascii="华文中宋" w:hAnsi="华文中宋" w:eastAsia="华文中宋" w:cs="华文中宋"/>
                <w:color w:val="000000"/>
                <w:sz w:val="28"/>
              </w:rPr>
              <w:t>月</w:t>
            </w:r>
            <w:r>
              <w:rPr>
                <w:rFonts w:hint="eastAsia" w:ascii="华文中宋" w:hAnsi="华文中宋" w:eastAsia="华文中宋" w:cs="华文中宋"/>
                <w:color w:val="000000"/>
                <w:sz w:val="28"/>
                <w:lang w:val="en-US" w:eastAsia="zh-CN"/>
              </w:rPr>
              <w:t>9</w:t>
            </w:r>
            <w:r>
              <w:rPr>
                <w:rFonts w:hint="eastAsia" w:ascii="华文中宋" w:hAnsi="华文中宋" w:eastAsia="华文中宋" w:cs="华文中宋"/>
                <w:color w:val="000000"/>
                <w:sz w:val="28"/>
              </w:rPr>
              <w:t>日</w:t>
            </w:r>
          </w:p>
        </w:tc>
      </w:tr>
      <w:tr w14:paraId="1878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1443" w:type="dxa"/>
            <w:tcBorders>
              <w:top w:val="single" w:color="auto" w:sz="4" w:space="0"/>
              <w:bottom w:val="single" w:color="auto" w:sz="4" w:space="0"/>
            </w:tcBorders>
            <w:vAlign w:val="center"/>
          </w:tcPr>
          <w:p w14:paraId="2B889A3D">
            <w:pPr>
              <w:spacing w:line="32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作者姓名</w:t>
            </w:r>
          </w:p>
        </w:tc>
        <w:tc>
          <w:tcPr>
            <w:tcW w:w="2249" w:type="dxa"/>
            <w:tcBorders>
              <w:top w:val="single" w:color="auto" w:sz="4" w:space="0"/>
              <w:bottom w:val="single" w:color="auto" w:sz="4" w:space="0"/>
            </w:tcBorders>
            <w:vAlign w:val="center"/>
          </w:tcPr>
          <w:p w14:paraId="7F2DD7CA">
            <w:pPr>
              <w:jc w:val="center"/>
              <w:rPr>
                <w:rFonts w:hint="eastAsia" w:ascii="仿宋" w:hAnsi="仿宋" w:eastAsia="仿宋" w:cs="Times New Roman"/>
                <w:color w:val="000000"/>
                <w:sz w:val="32"/>
                <w:szCs w:val="21"/>
              </w:rPr>
            </w:pPr>
            <w:r>
              <w:rPr>
                <w:rFonts w:hint="eastAsia" w:ascii="仿宋" w:hAnsi="仿宋" w:eastAsia="仿宋" w:cs="仿宋"/>
                <w:color w:val="000000"/>
                <w:sz w:val="24"/>
                <w:szCs w:val="18"/>
                <w:lang w:val="en-US" w:eastAsia="zh-CN"/>
              </w:rPr>
              <w:t>祝卫明</w:t>
            </w:r>
          </w:p>
        </w:tc>
        <w:tc>
          <w:tcPr>
            <w:tcW w:w="1207" w:type="dxa"/>
            <w:gridSpan w:val="2"/>
            <w:tcBorders>
              <w:top w:val="single" w:color="auto" w:sz="4" w:space="0"/>
              <w:bottom w:val="single" w:color="auto" w:sz="4" w:space="0"/>
            </w:tcBorders>
            <w:vAlign w:val="center"/>
          </w:tcPr>
          <w:p w14:paraId="3A276C79">
            <w:pPr>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679" w:type="dxa"/>
            <w:gridSpan w:val="4"/>
            <w:tcBorders>
              <w:top w:val="single" w:color="auto" w:sz="4" w:space="0"/>
              <w:bottom w:val="single" w:color="auto" w:sz="4" w:space="0"/>
            </w:tcBorders>
            <w:vAlign w:val="center"/>
          </w:tcPr>
          <w:p w14:paraId="57DD7BAB">
            <w:pPr>
              <w:jc w:val="center"/>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13907017874</w:t>
            </w:r>
          </w:p>
        </w:tc>
      </w:tr>
    </w:tbl>
    <w:p w14:paraId="328BBCEE">
      <w:pPr>
        <w:jc w:val="both"/>
        <w:rPr>
          <w:rFonts w:hint="eastAsia" w:eastAsia="仿宋_GB2312"/>
          <w:lang w:eastAsia="zh-CN"/>
        </w:rPr>
      </w:pPr>
      <w:r>
        <w:rPr>
          <w:rFonts w:hint="eastAsia" w:eastAsia="仿宋_GB2312"/>
          <w:lang w:eastAsia="zh-CN"/>
        </w:rPr>
        <w:drawing>
          <wp:inline distT="0" distB="0" distL="114300" distR="114300">
            <wp:extent cx="5238750" cy="7417435"/>
            <wp:effectExtent l="0" t="0" r="0" b="12065"/>
            <wp:docPr id="3" name="图片 3" descr="头雁归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头雁归来"/>
                    <pic:cNvPicPr>
                      <a:picLocks noChangeAspect="1"/>
                    </pic:cNvPicPr>
                  </pic:nvPicPr>
                  <pic:blipFill>
                    <a:blip r:embed="rId4"/>
                    <a:stretch>
                      <a:fillRect/>
                    </a:stretch>
                  </pic:blipFill>
                  <pic:spPr>
                    <a:xfrm>
                      <a:off x="0" y="0"/>
                      <a:ext cx="5238750" cy="7417435"/>
                    </a:xfrm>
                    <a:prstGeom prst="rect">
                      <a:avLst/>
                    </a:prstGeom>
                  </pic:spPr>
                </pic:pic>
              </a:graphicData>
            </a:graphic>
          </wp:inline>
        </w:drawing>
      </w:r>
    </w:p>
    <w:p w14:paraId="1AA02C9C">
      <w:pPr>
        <w:jc w:val="both"/>
        <w:rPr>
          <w:rFonts w:hint="eastAsia" w:eastAsia="仿宋_GB2312"/>
          <w:lang w:eastAsia="zh-CN"/>
        </w:rPr>
      </w:pPr>
    </w:p>
    <w:p w14:paraId="6CD1C24D">
      <w:pPr>
        <w:jc w:val="center"/>
        <w:rPr>
          <w:rFonts w:hint="default" w:eastAsia="仿宋_GB2312"/>
          <w:lang w:val="en-US" w:eastAsia="zh-CN"/>
        </w:rPr>
        <w:sectPr>
          <w:pgSz w:w="11906" w:h="16838"/>
          <w:pgMar w:top="1440" w:right="1800" w:bottom="1440" w:left="1800" w:header="851" w:footer="992" w:gutter="0"/>
          <w:cols w:space="720" w:num="1"/>
          <w:docGrid w:type="lines" w:linePitch="312" w:charSpace="0"/>
        </w:sectPr>
      </w:pPr>
      <w:bookmarkStart w:id="0" w:name="_GoBack"/>
      <w:r>
        <w:rPr>
          <w:rFonts w:hint="eastAsia" w:ascii="仿宋" w:hAnsi="仿宋" w:eastAsia="仿宋" w:cs="仿宋"/>
          <w:sz w:val="28"/>
          <w:szCs w:val="28"/>
          <w:lang w:val="en-US" w:eastAsia="zh-CN"/>
        </w:rPr>
        <w:t>《“头雁”归来》作品复印件</w:t>
      </w:r>
      <w:bookmarkEnd w:id="0"/>
      <w:r>
        <w:rPr>
          <w:rFonts w:hint="eastAsia" w:eastAsia="仿宋_GB2312"/>
          <w:lang w:eastAsia="zh-CN"/>
        </w:rPr>
        <w:drawing>
          <wp:inline distT="0" distB="0" distL="114300" distR="114300">
            <wp:extent cx="4495800" cy="6324600"/>
            <wp:effectExtent l="0" t="0" r="0" b="0"/>
            <wp:docPr id="1" name="图片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DF1"/>
                    <pic:cNvPicPr>
                      <a:picLocks noChangeAspect="1"/>
                    </pic:cNvPicPr>
                  </pic:nvPicPr>
                  <pic:blipFill>
                    <a:blip r:embed="rId5"/>
                    <a:stretch>
                      <a:fillRect/>
                    </a:stretch>
                  </pic:blipFill>
                  <pic:spPr>
                    <a:xfrm>
                      <a:off x="0" y="0"/>
                      <a:ext cx="4495800" cy="6324600"/>
                    </a:xfrm>
                    <a:prstGeom prst="rect">
                      <a:avLst/>
                    </a:prstGeom>
                  </pic:spPr>
                </pic:pic>
              </a:graphicData>
            </a:graphic>
          </wp:inline>
        </w:drawing>
      </w:r>
      <w:r>
        <w:rPr>
          <w:rFonts w:hint="eastAsia" w:eastAsia="仿宋_GB2312"/>
          <w:lang w:eastAsia="zh-CN"/>
        </w:rPr>
        <w:br w:type="textWrapping"/>
      </w:r>
      <w:r>
        <w:rPr>
          <w:rFonts w:hint="eastAsia" w:ascii="仿宋" w:hAnsi="仿宋" w:eastAsia="仿宋" w:cs="仿宋"/>
          <w:sz w:val="28"/>
          <w:szCs w:val="28"/>
          <w:lang w:val="en-US" w:eastAsia="zh-CN"/>
        </w:rPr>
        <w:t>《“头雁”归来》作品PDF版</w:t>
      </w:r>
    </w:p>
    <w:p w14:paraId="3F9FA0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副刊作品</w:t>
      </w:r>
    </w:p>
    <w:p w14:paraId="08DAF2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28"/>
          <w:szCs w:val="28"/>
        </w:rPr>
      </w:pPr>
      <w:r>
        <w:rPr>
          <w:rFonts w:hint="eastAsia" w:ascii="黑体" w:hAnsi="黑体" w:eastAsia="黑体" w:cs="黑体"/>
          <w:sz w:val="32"/>
          <w:szCs w:val="32"/>
        </w:rPr>
        <w:t>“头雁”归来</w:t>
      </w:r>
    </w:p>
    <w:p w14:paraId="78752E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24"/>
          <w:szCs w:val="24"/>
          <w:lang w:val="en-US" w:eastAsia="zh-CN"/>
        </w:rPr>
      </w:pPr>
      <w:r>
        <w:rPr>
          <w:rFonts w:hint="eastAsia" w:ascii="仿宋" w:hAnsi="仿宋" w:eastAsia="仿宋"/>
          <w:sz w:val="24"/>
          <w:szCs w:val="24"/>
          <w:lang w:eastAsia="zh-CN"/>
        </w:rPr>
        <w:t>作者：</w:t>
      </w:r>
      <w:r>
        <w:rPr>
          <w:rFonts w:hint="eastAsia" w:ascii="仿宋" w:hAnsi="仿宋" w:eastAsia="仿宋"/>
          <w:sz w:val="24"/>
          <w:szCs w:val="24"/>
        </w:rPr>
        <w:t> 祝卫明</w:t>
      </w:r>
      <w:r>
        <w:rPr>
          <w:rFonts w:hint="eastAsia" w:ascii="仿宋" w:hAnsi="仿宋" w:eastAsia="仿宋"/>
          <w:sz w:val="24"/>
          <w:szCs w:val="24"/>
          <w:lang w:val="en-US" w:eastAsia="zh-CN"/>
        </w:rPr>
        <w:t xml:space="preserve">   编辑：陈文革、艾建新</w:t>
      </w:r>
    </w:p>
    <w:p w14:paraId="58FEA63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rPr>
      </w:pPr>
    </w:p>
    <w:p w14:paraId="55E6102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2019年12月，鹰潭市被列为首批国家城乡融合发展试验区，是全国11个国家城乡融合发展试验区中两个全域列入的城市之一，是江西省唯一一个列入国家城乡融合发展试验区的城市。在国家城乡融合发展试验区建设过程中，鹰潭市号召“有威望、有才能、口碑好，成长于乡土，有家乡情怀，乐于为家乡奉献”的在外创业人才，回到故土，为家乡发展出智、出资、出力。童火才，就是被邀请回乡的一位杰出代表。</w:t>
      </w:r>
    </w:p>
    <w:p w14:paraId="3FF411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rPr>
        <w:t>以“最真挚情感” 干在建设第一线</w:t>
      </w:r>
    </w:p>
    <w:p w14:paraId="30C34A3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12月14日，鹰潭市余江区中童镇乘龙村党总支书记、村委会主任童火才和乘龙村艾家组村民事务理事会理事长一起，早早来到村民艾永开家中，希望他母亲王水梅将多占空置的老房子拆除，为村庄繁荣发展腾出更多空间。王水梅担心孙子们回来后自己没地方住，想把老房子保留下来。尽管她儿子一再表态不会让老人没地方住，但王水梅却始终没有松口。童火才又和王水梅老人另外一个在外地做生意的儿子艾享开联系，艾享开也表示，会做母亲的思想工作，支持村庄规划建设。</w:t>
      </w:r>
    </w:p>
    <w:p w14:paraId="0AD6562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余江区中童镇乘龙村艾家组地理位置优越，被余江工业园区眼镜产业园和汽配产业园所包围。艾家有着600多年的历史，现有232户，人口968人。因园区扩建，艾家组先后多次被征收土地近2000亩。过去村里矛盾很多，是出了名的“老大难村”。2018年、2022年，艾家组两次启动和美乡村建设，都因村里矛盾重重无法实施。</w:t>
      </w:r>
    </w:p>
    <w:p w14:paraId="170EC0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余江区中童镇乘龙村下辖的4个村小组，除艾家组外，其他3个村小组都已完成和美乡村建设，并且走在余江区前列。艾家组也是余江区为数不多还没有实施和美乡村建设的自然村。看到艾家组到处都是破破烂烂。童火才看在眼里，急在心上。</w:t>
      </w:r>
    </w:p>
    <w:p w14:paraId="6FC4DA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“2022年，艾家组被征收土地574亩，近年来艾家组被征收土地近2000亩，为国家做了贡献，现在工业园区搞得红红火火，我们艾家组也要跟进。”童火才说。</w:t>
      </w:r>
    </w:p>
    <w:p w14:paraId="37ACBB6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鹰潭市全域被列为首批国家城乡融合发展试验区，2015年和2020年，鹰潭市余江区先后两次被列为全国农村宅基地制度改革试点县。这给推进新型城镇化、乡村振兴等带来了新的机遇。童火才下定决心，必须牢牢抓住这一重大发展机遇，以推进乡村建设、乡村发展、乡村治理为重点，办成一批群众可感可及的实事，把艾家组打造为宜居宜业的和美乡村。</w:t>
      </w:r>
    </w:p>
    <w:p w14:paraId="329661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2024年6月，在村党总支带领下，艾家组重新组建了村民事务理事会，推选出了新的理事长。童火才要求村里“每房”都要推选出一名德高望重的代表来担任村民事务理事会理事，共同参与村庄规划、建设和管理。</w:t>
      </w:r>
    </w:p>
    <w:p w14:paraId="61760C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在新的村民事务理事会推动下，今年7月，艾家组向余江区中童镇政府申请进行和美乡村建设，全村90%以上的家庭代表都在《支持村庄建设的承诺书》上签了字。艾家组也由过去的“要我建”，向现在的“我要建”转变。</w:t>
      </w:r>
    </w:p>
    <w:p w14:paraId="6C66C73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经上级批准，10月8日，艾家组正式启动和美乡村建设。因前期工作扎实，危旧房、空心房拆除工作进展顺利。截至12月15日，该村共拆除危旧房、旱厕、猪牛栏108栋，退出空闲宅基地面积16300平方米。</w:t>
      </w:r>
    </w:p>
    <w:p w14:paraId="258313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说，目前艾家组村庄规划基本完成，接下来要修建村庄道路、供水、供电、通信等基础设施，新建休闲广场、村民活动中心等公共设施，通过美化、绿化、亮化工程，改变村容村貌，改善村民的生活条件，促进城乡一体化发展。</w:t>
      </w:r>
    </w:p>
    <w:p w14:paraId="4C75E3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现在艾家组在一天天改变，村庄规划在一步步落地，村民们也变得更加心齐气顺。</w:t>
      </w:r>
    </w:p>
    <w:p w14:paraId="082D153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童火才坚持“真情为民、勇于担当、激情奋斗”的工作作风，用实际行动诠释着他对党的事业的执着挚爱、对家乡百姓的一片真情。</w:t>
      </w:r>
    </w:p>
    <w:p w14:paraId="520832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rPr>
        <w:t>下“最大的决心” 冲在改革最前沿</w:t>
      </w:r>
    </w:p>
    <w:p w14:paraId="086B74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1963年出生，高中毕业后就到内蒙古自治区呼伦贝尔市从事眼镜生意。随着房地产行业兴起，童火才迅速调整经营结构，转行房地产开发，担任吉林省四平市宏博房地产开发有限公司董事长、天翔置业集团副董事长。</w:t>
      </w:r>
    </w:p>
    <w:p w14:paraId="00B402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2020年，在余江区各地如火如荼地推进国家城乡融合发展试验区建设和和美乡村建设时，童火才老家中童镇乘龙村高石塘组却因种种原因无法实施。”余江区中童镇党委书记吴克来说，火车跑得快，全靠车头带。经过筛选和比对，我们觉得童火才是最佳人选，他头脑灵活，又懂经济，有情怀、有资源、有格局，在家乡威望很高，我们就想尽办法请他回来，做农村发家致富的“带头人”。</w:t>
      </w:r>
    </w:p>
    <w:p w14:paraId="547FE9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接到家乡党委、政府的邀请，童火才一直都很疑惑。“我就问怎么找我当村干部？我都离开家乡37年了，父母也都不在了，平时回去得也少，也没有农村工作经验。”童火才说，他们跟我说，高石塘组宗族多，村里派系斗争严重。村里在外经商的老板也多，谁也不服谁，所以和美乡村建设一直搞不下去，希望他能回来。</w:t>
      </w:r>
    </w:p>
    <w:p w14:paraId="398F1E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2020年，童火才公司房地产业务在全国多地“开花”，他儿子出国留学回来在内蒙古自治区自己创业开公司，他女儿考上了当地的公务员。要他放弃生意一个人回村搞和美乡村建设不现实，所以他当场谢绝。后来，中童镇领导又多次给童火才打电话，希望他无论如何都要回来看一下。盛情难却，童火才只好回来看一下。看到其他已经完成和美乡村建设的村庄都发生了翻天覆地的变化，而他家所在的高石塘村还是“垃圾靠风刮、污水靠蒸发”，到处都是猪牛栏、旱厕，村里连条像样的路都没有，给他触动很大，童火才心里很不是滋味。</w:t>
      </w:r>
    </w:p>
    <w:p w14:paraId="2AD79E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过去，高石塘组是出了名的“破烂村”，环境差、人心散，外界有“有女莫嫁高石塘”的说法。村里人都希望他能回来主持这项工作，改变村庄“破败”的局面。然而，他老婆孩子却都不同意。“他都这么大岁数，一个人回去，身体还不好，两地距离有3000多公里，有啥事，来回还不方便。再说，家里生意那么大，生意也不做，回去搭钱不算，老百姓还不一定理解。”童火才的妻子徐小凤当时无法理解。</w:t>
      </w:r>
    </w:p>
    <w:p w14:paraId="0855FF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看到乡亲们无助又渴望的眼神，童火才觉得家乡人民需要他，这是他的责任，也是他的义务。于是他下定决心，不当董事长，毅然一个人回到家乡，担任乘龙村高石组村民事务理事会理事长。</w:t>
      </w:r>
    </w:p>
    <w:p w14:paraId="6326D8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rPr>
        <w:t>以“最大的魄力” 战在发展最难时</w:t>
      </w:r>
    </w:p>
    <w:p w14:paraId="267821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刚回来时，村里宗族派系多，矛盾重重。“过去我们村庄环境特别差，猪牛栏到处都是，一下雨污水到处流，老百姓连下脚走路都走不出去。”村民童喜望说，以前村里建房很不规范，有的人能搞到好几栋宅基地，后面想建房的人都没有宅基地，他们村有20年都没有审批建房，为了这个事，村民们经常纠纷不断。</w:t>
      </w:r>
    </w:p>
    <w:p w14:paraId="5DBCCE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童火才和村民事务理事会成员一起挨家挨户走访，征求大家的意见建议，并到浙江省和余江区已经实施和美乡村建设的地方学习考察，取长补短，准备干出自己的特色。</w:t>
      </w:r>
    </w:p>
    <w:p w14:paraId="0FCDB6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为改变现状，童火才把国家城乡融合发展试验区建设与和美乡村建设、乡村治理、乡村产业发展紧密结合起来。一方面，向村民宣传和美乡村建设的好处，并争取村里在外经商、务工人员的支持，调动大家建设家乡的积极性。另一方面，结合村庄实际，广泛征求群众意见建议，制定了村规民约，让村民看到发展希望。此外，童火才要求村里党员干部带头宣传城乡融合发展以及和美乡村建设政策，带头做亲属思想工作，带头为村里做实事办好事。</w:t>
      </w:r>
    </w:p>
    <w:p w14:paraId="48F38B0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为了不影响村庄规划，童火才大嫂家唯一一栋房屋必须拆除。尽管之前他侄子已经在拆迁协议上签了字，但拆除当天，他大嫂却拿着扫把拦在房前破口大骂，阻挠施工。</w:t>
      </w:r>
    </w:p>
    <w:p w14:paraId="336F41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拆除当天，童火才大嫂情绪非常激动，她认为，小叔子回来当干部，应该维护她们家族的利益，现在反过来要她们带头拆除房子，所以她很不理解。”余江区中童镇乘龙村高石塘组村民事务理事会（现任）理事长童新龙说，当天，童火才也是顶着巨大压力把房子拆掉了，到现在，大嫂对他还满是怨气。</w:t>
      </w:r>
    </w:p>
    <w:p w14:paraId="6A32D58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“村看村，户看户，村民看干部，如果我今天不把这房子拆了，后面的工作就无法开展。我让侄子他们把大嫂先拉开，把房子给拆了，晚上买着水果去嫂子家赔礼道歉。”童火才事后也是充满愧疚。</w:t>
      </w:r>
    </w:p>
    <w:p w14:paraId="21B8BB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为有序推进城乡融合发展和和美乡村建设，童火才从自家开始，坚持“一碗水端平”“一把尺子量到底”，让全村百姓刮目相看，和美乡村建设工作得以顺利“破局”。</w:t>
      </w:r>
    </w:p>
    <w:p w14:paraId="6602E1F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为了体现公平公正，童火才引进了公司化管理模式，不仅成立了村民事务理事会，还成立监事会，并聘请法律顾问，有效推动了和美乡村建设顺利实施。在童火才带领下，余江区中童镇乘龙村高石塘组仅用了20天时间，集中拆除危旧房屋120栋，旱厕、猪牛栏180余间，退出空闲宅基地面积2.4万平方米，盘活1200余亩闲置土地及宅基地。全村没有发生一起群众集体上访事件。童火才六兄弟，共拆除房屋4幢，退出多占宅基地1宗。</w:t>
      </w:r>
    </w:p>
    <w:p w14:paraId="689F2D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我们村干部和村民事务理事会成员在一起吃了45天盒饭，上午工作，中午开会，下午又工作，晚间还要上户，所以说当时感觉比自己在外面经商、自己挣钱还要累，通过全体理事跟我们努力，老百姓也接受了。”童火才至今还很难忘。</w:t>
      </w:r>
    </w:p>
    <w:p w14:paraId="2130108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由于群众认可，2021年余江区中童镇乘龙村村“两委”换届时，童火才全票当选乘龙村党总支书记、村委会主任。</w:t>
      </w:r>
    </w:p>
    <w:p w14:paraId="3CF9C7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如今，高石塘组房屋规划合理、排列整齐，村容村貌焕然一新，村庄面貌发生翻天覆地变化。村民们对这位远方归来的“领头雁”赞不绝口。</w:t>
      </w:r>
    </w:p>
    <w:p w14:paraId="07EC2D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我家后面那条路，是大家进出的必经之路，因为道路太狭窄，路边上还有一条水沟，村里老人出殡八个人都抬不出去，需要十多个人帮忙。他对老百姓都挺好，做事也用心，把我们这个村庄上弄得很好，现在村里小伙子找老婆也好找了。”村民罗金女激动地说。</w:t>
      </w:r>
    </w:p>
    <w:p w14:paraId="512D89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b/>
          <w:bCs/>
          <w:sz w:val="28"/>
          <w:szCs w:val="28"/>
        </w:rPr>
      </w:pPr>
      <w:r>
        <w:rPr>
          <w:rFonts w:hint="eastAsia" w:ascii="仿宋" w:hAnsi="仿宋" w:eastAsia="仿宋"/>
          <w:b/>
          <w:bCs/>
          <w:sz w:val="28"/>
          <w:szCs w:val="28"/>
        </w:rPr>
        <w:t>用“最有效举措” 谋在群众心坎上</w:t>
      </w:r>
    </w:p>
    <w:p w14:paraId="4B448A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乘龙村区位优越，交通便捷，206国道、沪昆高速、鹰西大道穿村而过，鹰潭“手拉手”国际汽车城、鹰潭港中童综合码头、余江区眼镜工业园都坐落在村庄周边。如何变区位优势为发展优势？如何增加村集体收入、带领村民增收致富成为摆在童火才面前的又一道难题。</w:t>
      </w:r>
    </w:p>
    <w:p w14:paraId="5604BD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童火才以“物业进乡村”为突破口，购买了挖掘机、抛秧机、洒水车、运营小汽车等设备，成立了物业公司和设备租赁公司，将全村各行各业的100多名能工巧匠纳入其中，对外承接卫生保洁、绿化管护、大棚种植、水利设施建设、206国道沿线及周边多个行政村道路养护业务。村集体利用50余亩闲置土地，建造了10座标准化连栋大棚，种植羊肚菌和蔬菜。通过集体经营性建设用地入市，引进了无骨鸡爪加工厂。通过盘活闲置农房，村民们建起了民宿、超市和饭店。童火才投资8000多万元，开发了1200余亩信江湾田园综合体。现在村民们再也不需要外出打工，在家门口就实现就业。村民徐美桂上半年在大棚种蔬菜，下半年种羊肚菌，她老公也在物业公司上班，一年大概也有七八万收入，再也不用出去打工，在家里还可以照顾老人和小孩。村民童瑶峰原来在信江新区从事电商生意，如今村里的各项设施都很完善，他把公司搬回了老家，并扩大了经营范围。</w:t>
      </w:r>
    </w:p>
    <w:p w14:paraId="32DD74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现在，村里经济“火”起来了，老百姓的日子也是蒸蒸日上。村里办起了“养老互助中心”，让老年人老有所养、老有所乐。此外，还开办了“童心港湾”，聘请教师在周末和寒暑假期间免费照看小孩和辅导作业，避免了溺水等安全事故的发生。</w:t>
      </w:r>
    </w:p>
    <w:p w14:paraId="5AAA19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今年6月4日至6日，国家城乡融合发展试验区现场会在鹰潭市举行，余江区中童镇乘龙村高石塘组便是其中的观摩点之一。从过去的全市“后进村”到如今的全国“示范点”，近两年来，高石塘组每年都吸引了全国各地100多批次考察团前来学习“取经”。</w:t>
      </w:r>
    </w:p>
    <w:p w14:paraId="488D5F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2021年至2023年，余江区中童镇乘龙村连续3年实现村集体收入超60万元。2024年村集体收入有望突破100万元。童火才先后被评为江西省“新时代赣鄱先锋——一心为民好支书”、鹰潭市“优秀共产党员”，并当选鹰潭市人大代表、余江区党代表。</w:t>
      </w:r>
    </w:p>
    <w:p w14:paraId="784D1D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我希望能为村民办点实事，让村庄变得更漂亮，让村民的日子过得好一点，这就是我回来的初衷。我在东北待了一辈子，艾家组搞好了，也就完成组织交给我的任务，我就可以退休回东北享受天伦之乐了。”童火才说，他响应号召回乡工作有4年时间了，明年村党总支就要换届，在接下来的时间，他要争分夺秒把艾家组建设好，把产业办起来，让村民富起来，这样才不会辜负党组织对他的信任和期望。</w:t>
      </w:r>
    </w:p>
    <w:p w14:paraId="18593E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使命在肩，初心不改。一件件小事，温暖人心；一次次选择，彰显担当。在家乡，童火才挥洒汗水、无私奉献，在平凡的岗位上做出了不平凡的业绩，用责任与担当书写出无愧于人民的满意答卷。</w:t>
      </w:r>
    </w:p>
    <w:p w14:paraId="2468F5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sz w:val="28"/>
          <w:szCs w:val="28"/>
        </w:rPr>
      </w:pPr>
      <w:r>
        <w:rPr>
          <w:rFonts w:hint="eastAsia" w:ascii="仿宋" w:hAnsi="仿宋" w:eastAsia="仿宋"/>
          <w:sz w:val="28"/>
          <w:szCs w:val="28"/>
        </w:rPr>
        <w:t>　　在鹰潭市，像童火才一样，放弃在外事业，回乡领头创业的党员、 “能人”还有很多。他们带着感情、资金、项目、技术，回报家乡，建设家乡，成为推动当地经济社会高质量发展中一支不可或缺的重要力量，为鹰潭市城乡融合发展改革、乡村全面振兴和农业农村现代化建设注入了强大正能量。</w:t>
      </w:r>
    </w:p>
    <w:p w14:paraId="4A9A87C0">
      <w:pPr>
        <w:rPr>
          <w:rFonts w:hint="eastAsia" w:eastAsia="仿宋_GB2312"/>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YTU3MDBjYjQ1YjQ1N2QxYjJmYzk1ZGUzODZjZWIifQ=="/>
    <w:docVar w:name="KSO_WPS_MARK_KEY" w:val="6bfff478-c43c-4f39-809b-c75afdda54e6"/>
  </w:docVars>
  <w:rsids>
    <w:rsidRoot w:val="479F47D5"/>
    <w:rsid w:val="000F6956"/>
    <w:rsid w:val="00DC4CCA"/>
    <w:rsid w:val="08F54A61"/>
    <w:rsid w:val="14C52A4A"/>
    <w:rsid w:val="1B9C027D"/>
    <w:rsid w:val="1CC46D63"/>
    <w:rsid w:val="1EA042F6"/>
    <w:rsid w:val="22503DDF"/>
    <w:rsid w:val="241C799D"/>
    <w:rsid w:val="311F248A"/>
    <w:rsid w:val="34A958F7"/>
    <w:rsid w:val="3A0D1CB9"/>
    <w:rsid w:val="3C361230"/>
    <w:rsid w:val="3DD337A5"/>
    <w:rsid w:val="43326A7C"/>
    <w:rsid w:val="43340488"/>
    <w:rsid w:val="479F47D5"/>
    <w:rsid w:val="47D00801"/>
    <w:rsid w:val="507C09DA"/>
    <w:rsid w:val="51F8338A"/>
    <w:rsid w:val="52ED0DE3"/>
    <w:rsid w:val="559462A3"/>
    <w:rsid w:val="5969303A"/>
    <w:rsid w:val="5E1E4546"/>
    <w:rsid w:val="5F2F0AE0"/>
    <w:rsid w:val="6852172A"/>
    <w:rsid w:val="6B902245"/>
    <w:rsid w:val="6FF8549D"/>
    <w:rsid w:val="730F00D5"/>
    <w:rsid w:val="7DE4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eastAsia="宋体" w:cs="Times New Roman"/>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5900</Words>
  <Characters>6034</Characters>
  <Lines>0</Lines>
  <Paragraphs>0</Paragraphs>
  <TotalTime>7</TotalTime>
  <ScaleCrop>false</ScaleCrop>
  <LinksUpToDate>false</LinksUpToDate>
  <CharactersWithSpaces>6222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2025-01-21T07:13:00Z</dcterms:created>
  <dc:creator>Administrator</dc:creator>
  <cp:lastModifiedBy>WPS_307671597</cp:lastModifiedBy>
  <dcterms:modified xsi:type="dcterms:W3CDTF">2025-02-19T07:50:03Z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38ED0D908A624C8FBA254CB3B11BBADA_13</vt:lpwstr>
  </property>
  <property fmtid="{D5CDD505-2E9C-101B-9397-08002B2CF9AE}" pid="4" name="KSOTemplateDocerSaveRecord">
    <vt:lpwstr>eyJoZGlkIjoiMGQ1NzBhNzEzMzI3N2ZjOWU0YmEwZDk5NmZkMTkyYTMiLCJ1c2VySWQiOiIzMDc2NzE1OTcifQ==</vt:lpwstr>
  </property>
</Properties>
</file>