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ED527">
      <w:pPr>
        <w:spacing w:after="156" w:afterLines="50" w:line="600" w:lineRule="exact"/>
        <w:jc w:val="center"/>
        <w:rPr>
          <w:rFonts w:hint="eastAsia" w:ascii="华文中宋" w:hAnsi="华文中宋" w:eastAsia="华文中宋" w:cs="方正小标宋简体"/>
          <w:color w:val="000000"/>
          <w:sz w:val="36"/>
          <w:szCs w:val="36"/>
        </w:rPr>
      </w:pPr>
      <w:r>
        <w:rPr>
          <w:rFonts w:hint="eastAsia" w:ascii="华文中宋" w:hAnsi="华文中宋" w:eastAsia="华文中宋" w:cs="方正小标宋简体"/>
          <w:color w:val="000000"/>
          <w:sz w:val="36"/>
          <w:szCs w:val="36"/>
        </w:rPr>
        <w:t>国际传播参评作品推荐表</w:t>
      </w:r>
    </w:p>
    <w:tbl>
      <w:tblPr>
        <w:tblStyle w:val="5"/>
        <w:tblW w:w="97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425"/>
        <w:gridCol w:w="425"/>
        <w:gridCol w:w="169"/>
        <w:gridCol w:w="398"/>
        <w:gridCol w:w="1134"/>
        <w:gridCol w:w="538"/>
        <w:gridCol w:w="313"/>
        <w:gridCol w:w="820"/>
        <w:gridCol w:w="270"/>
        <w:gridCol w:w="8"/>
        <w:gridCol w:w="461"/>
        <w:gridCol w:w="142"/>
        <w:gridCol w:w="12"/>
        <w:gridCol w:w="807"/>
        <w:gridCol w:w="456"/>
        <w:gridCol w:w="142"/>
        <w:gridCol w:w="388"/>
        <w:gridCol w:w="875"/>
        <w:gridCol w:w="63"/>
        <w:gridCol w:w="1367"/>
      </w:tblGrid>
      <w:tr w14:paraId="5E63A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30" w:type="dxa"/>
            <w:gridSpan w:val="4"/>
            <w:noWrap w:val="0"/>
            <w:vAlign w:val="center"/>
          </w:tcPr>
          <w:p w14:paraId="797087CB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4084" w:type="dxa"/>
            <w:gridSpan w:val="9"/>
            <w:noWrap w:val="0"/>
            <w:vAlign w:val="center"/>
          </w:tcPr>
          <w:p w14:paraId="2DF444FD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</w:rPr>
              <w:t>绿色江西的制造密码——绿动江铜</w:t>
            </w:r>
          </w:p>
          <w:p w14:paraId="6DFF9BB1">
            <w:pPr>
              <w:spacing w:line="300" w:lineRule="exact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</w:rPr>
              <w:t>Green Manufacture in Jiangxi- Greening the Smelting Industry</w:t>
            </w:r>
          </w:p>
        </w:tc>
        <w:tc>
          <w:tcPr>
            <w:tcW w:w="1417" w:type="dxa"/>
            <w:gridSpan w:val="4"/>
            <w:noWrap w:val="0"/>
            <w:vAlign w:val="center"/>
          </w:tcPr>
          <w:p w14:paraId="5CA5F24A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发形式）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5FE7949C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16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  <w:t>新闻专题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eastAsia="zh-CN"/>
              </w:rPr>
              <w:t>（电视）</w:t>
            </w:r>
          </w:p>
        </w:tc>
      </w:tr>
      <w:tr w14:paraId="7BD81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30" w:type="dxa"/>
            <w:gridSpan w:val="4"/>
            <w:noWrap w:val="0"/>
            <w:vAlign w:val="center"/>
          </w:tcPr>
          <w:p w14:paraId="4E39ACA1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  <w:t>作 者（主创人员）</w:t>
            </w:r>
          </w:p>
        </w:tc>
        <w:tc>
          <w:tcPr>
            <w:tcW w:w="4084" w:type="dxa"/>
            <w:gridSpan w:val="9"/>
            <w:noWrap w:val="0"/>
            <w:vAlign w:val="center"/>
          </w:tcPr>
          <w:p w14:paraId="3DD4D474">
            <w:pPr>
              <w:spacing w:line="30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</w:rPr>
              <w:t>余荷丹、祝路路、吴梦云</w:t>
            </w:r>
          </w:p>
        </w:tc>
        <w:tc>
          <w:tcPr>
            <w:tcW w:w="819" w:type="dxa"/>
            <w:gridSpan w:val="2"/>
            <w:noWrap w:val="0"/>
            <w:vAlign w:val="center"/>
          </w:tcPr>
          <w:p w14:paraId="76A83D5B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3291" w:type="dxa"/>
            <w:gridSpan w:val="6"/>
            <w:noWrap w:val="0"/>
            <w:vAlign w:val="center"/>
          </w:tcPr>
          <w:p w14:paraId="257CBBA6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</w:rPr>
              <w:t xml:space="preserve">肖伟青、杨婷 </w:t>
            </w:r>
          </w:p>
        </w:tc>
      </w:tr>
      <w:tr w14:paraId="18D09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30" w:type="dxa"/>
            <w:gridSpan w:val="4"/>
            <w:noWrap w:val="0"/>
            <w:vAlign w:val="center"/>
          </w:tcPr>
          <w:p w14:paraId="29291124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原创单位</w:t>
            </w:r>
          </w:p>
        </w:tc>
        <w:tc>
          <w:tcPr>
            <w:tcW w:w="3481" w:type="dxa"/>
            <w:gridSpan w:val="7"/>
            <w:shd w:val="clear" w:color="auto" w:fill="auto"/>
            <w:noWrap w:val="0"/>
            <w:vAlign w:val="center"/>
          </w:tcPr>
          <w:p w14:paraId="0A9E8CD2">
            <w:pPr>
              <w:spacing w:line="300" w:lineRule="exact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江西日报社、鹰潭市融媒体中心</w:t>
            </w:r>
          </w:p>
        </w:tc>
        <w:tc>
          <w:tcPr>
            <w:tcW w:w="1878" w:type="dxa"/>
            <w:gridSpan w:val="5"/>
            <w:noWrap w:val="0"/>
            <w:vAlign w:val="center"/>
          </w:tcPr>
          <w:p w14:paraId="2B5A4D33">
            <w:pPr>
              <w:spacing w:line="30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发布端/账号/媒体名称</w:t>
            </w:r>
          </w:p>
        </w:tc>
        <w:tc>
          <w:tcPr>
            <w:tcW w:w="2835" w:type="dxa"/>
            <w:gridSpan w:val="5"/>
            <w:noWrap w:val="0"/>
            <w:vAlign w:val="center"/>
          </w:tcPr>
          <w:p w14:paraId="22A27BD1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鹰视天下、推特、脸书、照片墙</w:t>
            </w:r>
          </w:p>
        </w:tc>
      </w:tr>
      <w:tr w14:paraId="4F135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30" w:type="dxa"/>
            <w:gridSpan w:val="4"/>
            <w:noWrap w:val="0"/>
            <w:vAlign w:val="center"/>
          </w:tcPr>
          <w:p w14:paraId="206E76BE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时长</w:t>
            </w:r>
          </w:p>
        </w:tc>
        <w:tc>
          <w:tcPr>
            <w:tcW w:w="4903" w:type="dxa"/>
            <w:gridSpan w:val="11"/>
            <w:noWrap w:val="0"/>
            <w:vAlign w:val="center"/>
          </w:tcPr>
          <w:p w14:paraId="148DEAF9">
            <w:pPr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2分21秒</w:t>
            </w:r>
          </w:p>
        </w:tc>
        <w:tc>
          <w:tcPr>
            <w:tcW w:w="986" w:type="dxa"/>
            <w:gridSpan w:val="3"/>
            <w:noWrap w:val="0"/>
            <w:vAlign w:val="center"/>
          </w:tcPr>
          <w:p w14:paraId="7C3A39B3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305" w:type="dxa"/>
            <w:gridSpan w:val="3"/>
            <w:noWrap w:val="0"/>
            <w:vAlign w:val="center"/>
          </w:tcPr>
          <w:p w14:paraId="0FE4CE7F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中英文双语</w:t>
            </w:r>
          </w:p>
        </w:tc>
      </w:tr>
      <w:tr w14:paraId="096DC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530" w:type="dxa"/>
            <w:gridSpan w:val="4"/>
            <w:noWrap w:val="0"/>
            <w:vAlign w:val="center"/>
          </w:tcPr>
          <w:p w14:paraId="234F70E8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刊播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  <w:lang w:eastAsia="zh-CN"/>
              </w:rPr>
              <w:t>频率频道</w:t>
            </w:r>
          </w:p>
        </w:tc>
        <w:tc>
          <w:tcPr>
            <w:tcW w:w="2070" w:type="dxa"/>
            <w:gridSpan w:val="3"/>
            <w:noWrap w:val="0"/>
            <w:vAlign w:val="center"/>
          </w:tcPr>
          <w:p w14:paraId="1D206175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instrText xml:space="preserve"> HYPERLINK "https://app.ytnews.cn/webDetails/video?id=11816435&amp;tenantId=30"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https://app.ytnews.cn/webDetails/video?id=11816435&amp;tenantId=30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1403" w:type="dxa"/>
            <w:gridSpan w:val="3"/>
            <w:noWrap w:val="0"/>
            <w:vAlign w:val="center"/>
          </w:tcPr>
          <w:p w14:paraId="2FF0F826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2416" w:type="dxa"/>
            <w:gridSpan w:val="8"/>
            <w:noWrap w:val="0"/>
            <w:vAlign w:val="center"/>
          </w:tcPr>
          <w:p w14:paraId="00BE23A2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2026/7/16</w:t>
            </w:r>
          </w:p>
        </w:tc>
        <w:tc>
          <w:tcPr>
            <w:tcW w:w="875" w:type="dxa"/>
            <w:noWrap w:val="0"/>
            <w:vAlign w:val="center"/>
          </w:tcPr>
          <w:p w14:paraId="5C26875E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33D8204E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周期</w:t>
            </w:r>
          </w:p>
        </w:tc>
        <w:tc>
          <w:tcPr>
            <w:tcW w:w="1430" w:type="dxa"/>
            <w:gridSpan w:val="2"/>
            <w:noWrap w:val="0"/>
            <w:vAlign w:val="center"/>
          </w:tcPr>
          <w:p w14:paraId="7DD4BCD2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</w:p>
        </w:tc>
      </w:tr>
      <w:tr w14:paraId="4C4ED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936" w:type="dxa"/>
            <w:gridSpan w:val="2"/>
            <w:noWrap w:val="0"/>
            <w:vAlign w:val="center"/>
          </w:tcPr>
          <w:p w14:paraId="529A4FFB">
            <w:pPr>
              <w:spacing w:line="30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 xml:space="preserve">  ︵</w:t>
            </w:r>
          </w:p>
          <w:p w14:paraId="77492867">
            <w:pPr>
              <w:spacing w:line="30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采作</w:t>
            </w:r>
          </w:p>
          <w:p w14:paraId="2194E350">
            <w:pPr>
              <w:spacing w:line="30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编品</w:t>
            </w:r>
          </w:p>
          <w:p w14:paraId="6990631D">
            <w:pPr>
              <w:spacing w:line="30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过简</w:t>
            </w:r>
          </w:p>
          <w:p w14:paraId="2FC18C9F">
            <w:pPr>
              <w:spacing w:line="30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程介</w:t>
            </w:r>
          </w:p>
          <w:p w14:paraId="48998F29">
            <w:pPr>
              <w:spacing w:line="30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bidi="ar"/>
              </w:rPr>
              <w:t>︶</w:t>
            </w:r>
          </w:p>
        </w:tc>
        <w:tc>
          <w:tcPr>
            <w:tcW w:w="8788" w:type="dxa"/>
            <w:gridSpan w:val="19"/>
            <w:noWrap w:val="0"/>
            <w:vAlign w:val="center"/>
          </w:tcPr>
          <w:p w14:paraId="5252D125">
            <w:pPr>
              <w:spacing w:line="300" w:lineRule="exact"/>
              <w:ind w:firstLine="416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该作品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以《绿色江西的制造密码——绿动江铜》为题，深度聚焦江铜集团贵溪冶炼厂的绿色转型之路。采编团队通过实地走访与专业访谈，系统性地揭示了该厂如何将“废气、废热、废料”转化为可再利用资源的全过程。作为国内最大的铜冶炼基地之一，贵溪冶炼厂构建了贯穿生产全流程的绿色闭环体系，依托余热发电、再生冶炼等先进工艺，实现了年减排二氧化碳21万吨、年发电量达1800万度的显著环保效益。作品通过真实的场景与具体的数据，生动呈现了传统重工业与生态环境协调共生的可行路径，树立了行业绿色转型的标杆典范。</w:t>
            </w:r>
          </w:p>
        </w:tc>
      </w:tr>
      <w:tr w14:paraId="0431B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  <w:jc w:val="center"/>
        </w:trPr>
        <w:tc>
          <w:tcPr>
            <w:tcW w:w="936" w:type="dxa"/>
            <w:gridSpan w:val="2"/>
            <w:noWrap w:val="0"/>
            <w:vAlign w:val="center"/>
          </w:tcPr>
          <w:p w14:paraId="3FAC23A4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国际传播效果</w:t>
            </w:r>
          </w:p>
        </w:tc>
        <w:tc>
          <w:tcPr>
            <w:tcW w:w="8788" w:type="dxa"/>
            <w:gridSpan w:val="19"/>
            <w:noWrap w:val="0"/>
            <w:vAlign w:val="center"/>
          </w:tcPr>
          <w:p w14:paraId="23AAFFF5">
            <w:pPr>
              <w:spacing w:line="300" w:lineRule="exact"/>
              <w:ind w:firstLine="416" w:firstLineChars="200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以“工业绿色转型”为主题，以直观的工艺流程解说与扎实的减排数据，展现了中国传统工业在节能减排与循环经济方面的切实行动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该作品在江西新闻客户端“Meet Jiangxi”栏目、江西国际传播中心微信公众号、海外宣传平台“Jiangxi, China”及“Meet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 J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iangxi”等多平台、多账号同步推送，获得积极广泛传播。视频累计观看量突破50万次，有效提升了江西工业绿色转型的国际能见度与影响力。</w:t>
            </w:r>
          </w:p>
        </w:tc>
      </w:tr>
      <w:tr w14:paraId="210B1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11" w:type="dxa"/>
            <w:vMerge w:val="restart"/>
            <w:noWrap w:val="0"/>
            <w:vAlign w:val="center"/>
          </w:tcPr>
          <w:p w14:paraId="1B8E2251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境外传</w:t>
            </w:r>
          </w:p>
          <w:p w14:paraId="05221EFC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2B300D98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6F4256B5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850" w:type="dxa"/>
            <w:gridSpan w:val="2"/>
            <w:vMerge w:val="restart"/>
            <w:noWrap w:val="0"/>
            <w:vAlign w:val="center"/>
          </w:tcPr>
          <w:p w14:paraId="469A3E1C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  <w:t>新媒体传播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平台网址</w:t>
            </w:r>
          </w:p>
        </w:tc>
        <w:tc>
          <w:tcPr>
            <w:tcW w:w="567" w:type="dxa"/>
            <w:gridSpan w:val="2"/>
            <w:noWrap w:val="0"/>
            <w:vAlign w:val="center"/>
          </w:tcPr>
          <w:p w14:paraId="0AEE38FE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1"/>
                <w:szCs w:val="21"/>
              </w:rPr>
              <w:t>1</w:t>
            </w:r>
          </w:p>
        </w:tc>
        <w:tc>
          <w:tcPr>
            <w:tcW w:w="7796" w:type="dxa"/>
            <w:gridSpan w:val="16"/>
            <w:noWrap w:val="0"/>
            <w:vAlign w:val="center"/>
          </w:tcPr>
          <w:p w14:paraId="780E140B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https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://x.com/YTdaily39339/status/1945389766163489067</w:t>
            </w:r>
          </w:p>
        </w:tc>
      </w:tr>
      <w:tr w14:paraId="60C34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511" w:type="dxa"/>
            <w:vMerge w:val="continue"/>
            <w:noWrap w:val="0"/>
            <w:vAlign w:val="center"/>
          </w:tcPr>
          <w:p w14:paraId="7879E7A2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vMerge w:val="continue"/>
            <w:noWrap w:val="0"/>
            <w:vAlign w:val="center"/>
          </w:tcPr>
          <w:p w14:paraId="03BC9C07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noWrap w:val="0"/>
            <w:vAlign w:val="center"/>
          </w:tcPr>
          <w:p w14:paraId="2E969F3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1"/>
                <w:szCs w:val="21"/>
              </w:rPr>
              <w:t>2</w:t>
            </w:r>
          </w:p>
        </w:tc>
        <w:tc>
          <w:tcPr>
            <w:tcW w:w="7796" w:type="dxa"/>
            <w:gridSpan w:val="16"/>
            <w:noWrap w:val="0"/>
            <w:vAlign w:val="center"/>
          </w:tcPr>
          <w:p w14:paraId="5E0D385E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instrText xml:space="preserve"> HYPERLINK "https://x.com/DynamicJiangxi/status/1946129817063260444(Jiangxi,China)4"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https://x.com/DynamicJiangxi/status/1946129817063260444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fldChar w:fldCharType="end"/>
            </w:r>
          </w:p>
        </w:tc>
      </w:tr>
      <w:tr w14:paraId="623AA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11" w:type="dxa"/>
            <w:vMerge w:val="continue"/>
            <w:noWrap w:val="0"/>
            <w:vAlign w:val="center"/>
          </w:tcPr>
          <w:p w14:paraId="69AE1A78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vMerge w:val="continue"/>
            <w:noWrap w:val="0"/>
            <w:vAlign w:val="center"/>
          </w:tcPr>
          <w:p w14:paraId="21E67E20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noWrap w:val="0"/>
            <w:vAlign w:val="center"/>
          </w:tcPr>
          <w:p w14:paraId="2C465EE4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1"/>
                <w:szCs w:val="21"/>
              </w:rPr>
              <w:t>3</w:t>
            </w:r>
          </w:p>
        </w:tc>
        <w:tc>
          <w:tcPr>
            <w:tcW w:w="7796" w:type="dxa"/>
            <w:gridSpan w:val="16"/>
            <w:noWrap w:val="0"/>
            <w:vAlign w:val="center"/>
          </w:tcPr>
          <w:p w14:paraId="58BDF99D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instrText xml:space="preserve"> HYPERLINK "https://www.facebook.com/share/v/1DVGqRbNJU/"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https://www.facebook.com/share/v/1DVGqRbNJU/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fldChar w:fldCharType="end"/>
            </w:r>
          </w:p>
        </w:tc>
      </w:tr>
      <w:tr w14:paraId="07825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11" w:type="dxa"/>
            <w:vMerge w:val="continue"/>
            <w:noWrap w:val="0"/>
            <w:vAlign w:val="center"/>
          </w:tcPr>
          <w:p w14:paraId="7111D79E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2551" w:type="dxa"/>
            <w:gridSpan w:val="5"/>
            <w:noWrap w:val="0"/>
            <w:vAlign w:val="center"/>
          </w:tcPr>
          <w:p w14:paraId="3927463C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671" w:type="dxa"/>
            <w:gridSpan w:val="3"/>
            <w:noWrap w:val="0"/>
            <w:vAlign w:val="center"/>
          </w:tcPr>
          <w:p w14:paraId="0DCE8BC1">
            <w:pPr>
              <w:spacing w:line="30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500000</w:t>
            </w:r>
          </w:p>
        </w:tc>
        <w:tc>
          <w:tcPr>
            <w:tcW w:w="893" w:type="dxa"/>
            <w:gridSpan w:val="5"/>
            <w:noWrap w:val="0"/>
            <w:vAlign w:val="center"/>
          </w:tcPr>
          <w:p w14:paraId="151BB441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转载量</w:t>
            </w:r>
          </w:p>
        </w:tc>
        <w:tc>
          <w:tcPr>
            <w:tcW w:w="1793" w:type="dxa"/>
            <w:gridSpan w:val="4"/>
            <w:noWrap w:val="0"/>
            <w:vAlign w:val="center"/>
          </w:tcPr>
          <w:p w14:paraId="48446275">
            <w:pPr>
              <w:spacing w:line="30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1000</w:t>
            </w:r>
          </w:p>
        </w:tc>
        <w:tc>
          <w:tcPr>
            <w:tcW w:w="938" w:type="dxa"/>
            <w:gridSpan w:val="2"/>
            <w:noWrap w:val="0"/>
            <w:vAlign w:val="center"/>
          </w:tcPr>
          <w:p w14:paraId="05600C11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1367" w:type="dxa"/>
            <w:noWrap w:val="0"/>
            <w:vAlign w:val="center"/>
          </w:tcPr>
          <w:p w14:paraId="1684C7E4">
            <w:pPr>
              <w:spacing w:line="30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20000</w:t>
            </w:r>
          </w:p>
        </w:tc>
      </w:tr>
      <w:tr w14:paraId="2F275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  <w:jc w:val="center"/>
        </w:trPr>
        <w:tc>
          <w:tcPr>
            <w:tcW w:w="1361" w:type="dxa"/>
            <w:gridSpan w:val="3"/>
            <w:noWrap w:val="0"/>
            <w:vAlign w:val="center"/>
          </w:tcPr>
          <w:p w14:paraId="259B7E61">
            <w:pPr>
              <w:spacing w:line="30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推荐理由</w:t>
            </w:r>
          </w:p>
        </w:tc>
        <w:tc>
          <w:tcPr>
            <w:tcW w:w="8363" w:type="dxa"/>
            <w:gridSpan w:val="18"/>
            <w:noWrap w:val="0"/>
            <w:vAlign w:val="center"/>
          </w:tcPr>
          <w:p w14:paraId="182E5377">
            <w:pPr>
              <w:spacing w:line="300" w:lineRule="exact"/>
              <w:ind w:firstLine="416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主题具有全球共鸣性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聚焦“工业绿色转型”，紧扣全球碳中和与可持续发展议题，易于引发国际受众的普遍关注与认同。叙事真实、数据扎实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通过实地拍摄与关键工艺解读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结合具体的减排与发电数据，增强内容的可信度与说服力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传播效果显著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视频观看量超50万次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体现内容吸引力和传播渗透力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在对外讲述中国工业绿色故事方面取得切实成效。  </w:t>
            </w:r>
          </w:p>
          <w:p w14:paraId="1F69B7AF">
            <w:pPr>
              <w:spacing w:line="300" w:lineRule="exact"/>
              <w:ind w:firstLine="416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  <w:p w14:paraId="226C15B1">
            <w:pPr>
              <w:spacing w:line="300" w:lineRule="exact"/>
              <w:ind w:firstLine="416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  <w:p w14:paraId="22DEC6EE">
            <w:pPr>
              <w:spacing w:line="300" w:lineRule="exact"/>
              <w:ind w:firstLine="2704" w:firstLineChars="1300"/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单位主要负责人签名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加盖单位公章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  <w:t>）</w:t>
            </w:r>
          </w:p>
          <w:p w14:paraId="7B0DF207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 xml:space="preserve">               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2026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日</w:t>
            </w:r>
          </w:p>
        </w:tc>
      </w:tr>
      <w:tr w14:paraId="48551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61" w:type="dxa"/>
            <w:gridSpan w:val="3"/>
            <w:noWrap w:val="0"/>
            <w:vAlign w:val="center"/>
          </w:tcPr>
          <w:p w14:paraId="6C8B045B">
            <w:pPr>
              <w:spacing w:line="30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作者姓名</w:t>
            </w:r>
          </w:p>
        </w:tc>
        <w:tc>
          <w:tcPr>
            <w:tcW w:w="2552" w:type="dxa"/>
            <w:gridSpan w:val="5"/>
            <w:noWrap w:val="0"/>
            <w:vAlign w:val="center"/>
          </w:tcPr>
          <w:p w14:paraId="045A0BAA">
            <w:pPr>
              <w:spacing w:line="300" w:lineRule="exact"/>
              <w:jc w:val="center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肖伟青</w:t>
            </w:r>
          </w:p>
        </w:tc>
        <w:tc>
          <w:tcPr>
            <w:tcW w:w="1559" w:type="dxa"/>
            <w:gridSpan w:val="4"/>
            <w:noWrap w:val="0"/>
            <w:vAlign w:val="center"/>
          </w:tcPr>
          <w:p w14:paraId="1F02D45E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252" w:type="dxa"/>
            <w:gridSpan w:val="9"/>
            <w:noWrap w:val="0"/>
            <w:vAlign w:val="center"/>
          </w:tcPr>
          <w:p w14:paraId="5B71D109">
            <w:pPr>
              <w:spacing w:line="30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18107012881</w:t>
            </w:r>
          </w:p>
        </w:tc>
      </w:tr>
    </w:tbl>
    <w:p w14:paraId="1A9617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 w:ascii="宋体" w:hAnsi="宋体" w:cs="宋体"/>
          <w:kern w:val="0"/>
          <w:sz w:val="20"/>
          <w:szCs w:val="20"/>
          <w:lang w:val="en-US" w:eastAsia="zh-CN"/>
        </w:rPr>
      </w:pPr>
    </w:p>
    <w:p w14:paraId="36E738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 w:ascii="宋体" w:hAnsi="宋体" w:cs="宋体"/>
          <w:kern w:val="0"/>
          <w:sz w:val="20"/>
          <w:szCs w:val="20"/>
          <w:lang w:val="en-US" w:eastAsia="zh-CN"/>
        </w:rPr>
      </w:pPr>
    </w:p>
    <w:p w14:paraId="1B67CD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作品二维码：</w:t>
      </w:r>
    </w:p>
    <w:p w14:paraId="5D930F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</w:p>
    <w:p w14:paraId="11A21E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</w:p>
    <w:p w14:paraId="0B57F8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</w:p>
    <w:p w14:paraId="0A8F08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  <w:r>
        <w:rPr>
          <w:rFonts w:hint="default" w:ascii="宋体" w:hAnsi="宋体" w:cs="宋体"/>
          <w:kern w:val="0"/>
          <w:sz w:val="20"/>
          <w:szCs w:val="20"/>
          <w:lang w:val="en-US" w:eastAsia="zh-CN"/>
        </w:rPr>
        <w:drawing>
          <wp:inline distT="0" distB="0" distL="114300" distR="114300">
            <wp:extent cx="3810000" cy="3810000"/>
            <wp:effectExtent l="0" t="0" r="0" b="0"/>
            <wp:docPr id="11" name="图片 11" descr="绿动江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绿动江铜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740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p w14:paraId="0E5466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p w14:paraId="1239FA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p w14:paraId="527706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p w14:paraId="4D531F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p w14:paraId="4E8266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p w14:paraId="31C4F5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p w14:paraId="5CC407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p w14:paraId="502C58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p w14:paraId="7780FA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p w14:paraId="57F607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p w14:paraId="387AF2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p w14:paraId="3A4FDF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p w14:paraId="776CB9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p w14:paraId="29EA7012">
      <w:p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A2047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国际传播</w:t>
      </w:r>
    </w:p>
    <w:p w14:paraId="010FFD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绿色江西的制造密码——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绿动江铜</w:t>
      </w:r>
    </w:p>
    <w:p w14:paraId="0E5EE5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Green Manufacture in Jiangxi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- Greening the Smelting Industry</w:t>
      </w:r>
    </w:p>
    <w:p w14:paraId="650B8E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382" w:firstLineChars="1421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作者：余荷丹、祝路路、吴梦云</w:t>
      </w:r>
    </w:p>
    <w:p w14:paraId="61500F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382" w:firstLineChars="1421"/>
        <w:jc w:val="both"/>
        <w:textAlignment w:val="auto"/>
        <w:rPr>
          <w:rFonts w:hint="eastAsia" w:ascii="宋体" w:hAnsi="宋体" w:eastAsia="宋体" w:cs="宋体"/>
          <w:szCs w:val="28"/>
        </w:rPr>
      </w:pPr>
      <w:r>
        <w:rPr>
          <w:rFonts w:hint="eastAsia" w:ascii="宋体" w:hAnsi="宋体" w:eastAsia="宋体" w:cs="宋体"/>
          <w:sz w:val="24"/>
          <w:szCs w:val="24"/>
        </w:rPr>
        <w:t>编辑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肖伟青、杨婷</w:t>
      </w:r>
    </w:p>
    <w:p w14:paraId="6391A6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60EAF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这里是中国最大的铜冶炼基地之一，更是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有色金属行业绿色转型</w:t>
      </w:r>
      <w:r>
        <w:rPr>
          <w:rFonts w:hint="eastAsia" w:ascii="仿宋" w:hAnsi="仿宋" w:eastAsia="仿宋" w:cs="仿宋"/>
          <w:sz w:val="28"/>
          <w:szCs w:val="28"/>
        </w:rPr>
        <w:t>的典范。</w:t>
      </w:r>
    </w:p>
    <w:p w14:paraId="44345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This is one of China's largest copper smelting bases — — and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a model for green transformation in the non-ferrous metals industry.</w:t>
      </w:r>
    </w:p>
    <w:p w14:paraId="7A21D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铜生产曾被视为高污染、高耗能的代名词，而江铜正以创新实践重塑产业生态，改写这一传统印象。覆盖全流程的绿色闭环体系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就是关键。</w:t>
      </w:r>
    </w:p>
    <w:p w14:paraId="368BA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Copper production was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labeled as a high-pollution and energy-intensive industry.  But Jiangxi Copper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Corporation Limited</w:t>
      </w:r>
      <w:r>
        <w:rPr>
          <w:rFonts w:hint="eastAsia" w:ascii="仿宋" w:hAnsi="仿宋" w:eastAsia="仿宋" w:cs="仿宋"/>
          <w:sz w:val="28"/>
          <w:szCs w:val="28"/>
        </w:rPr>
        <w:t xml:space="preserve"> is reshaping that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image</w:t>
      </w:r>
      <w:r>
        <w:rPr>
          <w:rFonts w:hint="eastAsia" w:ascii="仿宋" w:hAnsi="仿宋" w:eastAsia="仿宋" w:cs="仿宋"/>
          <w:sz w:val="28"/>
          <w:szCs w:val="28"/>
        </w:rPr>
        <w:t xml:space="preserve"> through innovative practices that redefine the industrial ecosystem.The key lies in a fully integrated green closed-loop system that runs through the entire production workflow.</w:t>
      </w:r>
    </w:p>
    <w:p w14:paraId="01796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这里不再是人们印象中的传统工厂，而是一个干净、高效、环保的现代化工厂。</w:t>
      </w:r>
    </w:p>
    <w:p w14:paraId="20441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This is no longer the traditional factory it was perceived as, but a clean, efficient, and environmentally friendly factory.</w:t>
      </w:r>
    </w:p>
    <w:p w14:paraId="7E71B5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冶炼过程产生的废气、废水、废渣经高效净化系统处理后，转化为工业原料二次利用。</w:t>
      </w:r>
    </w:p>
    <w:p w14:paraId="4918E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Industrial wastes from the smelting process are treated through advanced purification systems and reused as industrial raw materials.</w:t>
      </w:r>
    </w:p>
    <w:p w14:paraId="58516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【同期 中文】</w:t>
      </w:r>
    </w:p>
    <w:p w14:paraId="130ED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江铜集团贵溪冶炼厂 </w:t>
      </w:r>
    </w:p>
    <w:p w14:paraId="66271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Guixi Smelter of JCC</w:t>
      </w:r>
    </w:p>
    <w:p w14:paraId="1F17F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讲解员：喻兰雅 </w:t>
      </w:r>
    </w:p>
    <w:p w14:paraId="2D896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Docent: Yu Lanya</w:t>
      </w:r>
    </w:p>
    <w:p w14:paraId="633D3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2022年 贵溪冶炼厂发布了“双碳”路径图</w:t>
      </w:r>
    </w:p>
    <w:p w14:paraId="76CE5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到2025年 碳排放总量比2021年减少21万吨</w:t>
      </w:r>
    </w:p>
    <w:p w14:paraId="3284B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下降25%</w:t>
      </w:r>
    </w:p>
    <w:p w14:paraId="37840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In 2022, the Guixi Smelter released its “dual carbon goals” strategic roadmap.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By 2025, its total carbon emissions are expected to be reduced by 210,000 tonnes compared to 2021 — a 25% decrease.</w:t>
      </w:r>
    </w:p>
    <w:p w14:paraId="35EE7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工厂高温作业产生的热能未被简单弃置，而是通过余热回收系统生产蒸汽其他工序使用，并将富余的蒸汽转化为电力。</w:t>
      </w:r>
    </w:p>
    <w:p w14:paraId="3F87EC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The heat generated from the high-temperature operation is not wasted.Instead, it is harnessed through a waste heat recovery system to produce steam for other processes, with surplus steam converted into electricity.</w:t>
      </w:r>
    </w:p>
    <w:p w14:paraId="48965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【同期 中文】</w:t>
      </w:r>
    </w:p>
    <w:p w14:paraId="643DC7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林景峰 Lin Jingfeng</w:t>
      </w:r>
    </w:p>
    <w:p w14:paraId="08A66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江铜集团贵溪冶炼厂动力车间技术主管</w:t>
      </w:r>
    </w:p>
    <w:p w14:paraId="08F13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Technical Supervisor of Power Workshop in Guixi Smelter</w:t>
      </w:r>
    </w:p>
    <w:p w14:paraId="757A6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据统计江铜集团贵溪冶炼厂通过实施余热发电</w:t>
      </w:r>
    </w:p>
    <w:p w14:paraId="45805C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每年发电量可达1,800万度</w:t>
      </w:r>
    </w:p>
    <w:p w14:paraId="3DE528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According to statistics, the Guixi Smelter of JCC generates up to 18 million kWh of electricity annually through waste heat recovery.</w:t>
      </w:r>
    </w:p>
    <w:p w14:paraId="38D35E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废料不再被丢弃，而是通过环保工艺“变废为宝”。</w:t>
      </w:r>
    </w:p>
    <w:p w14:paraId="2132A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Waste materials are no longer discarded but turned into valuable resources through eco-friendly processes.</w:t>
      </w:r>
    </w:p>
    <w:p w14:paraId="01107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【同期声  中文】</w:t>
      </w:r>
    </w:p>
    <w:p w14:paraId="7A15A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徐革雄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Xu Gexiong</w:t>
      </w:r>
    </w:p>
    <w:p w14:paraId="7BB70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江铜集团贵溪冶炼厂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倾动炉车间主任</w:t>
      </w:r>
    </w:p>
    <w:p w14:paraId="23E24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Director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of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Tilting Furnace Workshop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in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Guixi Smelt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er</w:t>
      </w:r>
    </w:p>
    <w:p w14:paraId="49832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我们江铜贵冶倾动炉</w:t>
      </w:r>
    </w:p>
    <w:p w14:paraId="347383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是再生冶炼的“一段法”</w:t>
      </w:r>
    </w:p>
    <w:p w14:paraId="7553A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我们主要分为四个期</w:t>
      </w:r>
    </w:p>
    <w:p w14:paraId="2D58C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加料熔化 氧化造渣 还原脱氧 阳极板浇铸</w:t>
      </w:r>
    </w:p>
    <w:p w14:paraId="6ADDD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我们这个工艺具有自动化程度高</w:t>
      </w:r>
    </w:p>
    <w:p w14:paraId="40E73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节能环保的特点</w:t>
      </w:r>
    </w:p>
    <w:p w14:paraId="30B4A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我们一年生产的阳极铜大概是12.5万吨</w:t>
      </w:r>
    </w:p>
    <w:p w14:paraId="01F055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At Guixi Smelter of Jiangxi Copper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Corporation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Limited,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the tilting furnace operation employs a “single-stage process” for secondary smelting</w:t>
      </w:r>
    </w:p>
    <w:p w14:paraId="4B8E3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which consists of four sequential phases: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charging and melting, oxidation and slagging, reduction and deoxidation, and anode plate casting</w:t>
      </w:r>
    </w:p>
    <w:p w14:paraId="22C1C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This technology features a high degree of automation, energy efficiency, and environmental </w:t>
      </w:r>
      <w:r>
        <w:rPr>
          <w:rFonts w:hint="eastAsia" w:ascii="仿宋" w:hAnsi="仿宋" w:eastAsia="仿宋" w:cs="仿宋"/>
          <w:sz w:val="28"/>
          <w:szCs w:val="28"/>
        </w:rPr>
        <w:t>compliance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</w:p>
    <w:p w14:paraId="368DA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Each year, we produce approximately 125,000 tons of anode copper(through this process).</w:t>
      </w:r>
    </w:p>
    <w:p w14:paraId="2BF56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江铜集团智能冶炼与环保融合的实践，不仅为传统产业绿色转型提供了生动范例，也为区域生态发展积累了可参考的经验。</w:t>
      </w:r>
    </w:p>
    <w:p w14:paraId="088E9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The practice of integrating intelligent smelting with environmental protection at Jiangxi Copper Corporation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Limited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not only provides a vivid example of green transformation in traditional industries, but also offers valuable experience for regional ecological development.</w:t>
      </w:r>
    </w:p>
    <w:p w14:paraId="55F48B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p w14:paraId="1A62EC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p w14:paraId="19C508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p w14:paraId="0FA6D8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p w14:paraId="69268B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p w14:paraId="6D37FB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p w14:paraId="79E9B4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  <w:bookmarkStart w:id="0" w:name="_GoBack"/>
      <w:bookmarkEnd w:id="0"/>
    </w:p>
    <w:p w14:paraId="6E5FBC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p w14:paraId="52F27F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default" w:ascii="宋体" w:hAnsi="宋体" w:cs="宋体"/>
          <w:kern w:val="0"/>
          <w:sz w:val="20"/>
          <w:szCs w:val="20"/>
          <w:lang w:val="en-US" w:eastAsia="zh-CN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paperSrc/>
      <w:pgNumType w:fmt="decimal"/>
      <w:cols w:space="0" w:num="1"/>
      <w:rtlGutter w:val="0"/>
      <w:docGrid w:type="linesAndChars" w:linePitch="410" w:charSpace="-6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ESI仿宋-GB2312">
    <w:altName w:val="微软雅黑"/>
    <w:panose1 w:val="00000000000000000000"/>
    <w:charset w:val="86"/>
    <w:family w:val="auto"/>
    <w:pitch w:val="default"/>
    <w:sig w:usb0="00000000" w:usb1="00000000" w:usb2="00000010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92C63">
    <w:pPr>
      <w:pStyle w:val="3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F81FDC7">
                          <w:pPr>
                            <w:pStyle w:val="3"/>
                            <w:rPr>
                              <w:rStyle w:val="8"/>
                              <w:rFonts w:hint="eastAsia"/>
                              <w:sz w:val="30"/>
                              <w:szCs w:val="30"/>
                            </w:rPr>
                          </w:pPr>
                          <w:r>
                            <w:rPr>
                              <w:rStyle w:val="8"/>
                              <w:rFonts w:hint="eastAsia"/>
                              <w:sz w:val="30"/>
                              <w:szCs w:val="30"/>
                            </w:rPr>
                            <w:t xml:space="preserve">— </w:t>
                          </w:r>
                          <w:r>
                            <w:rPr>
                              <w:rStyle w:val="8"/>
                              <w:rFonts w:hint="eastAsia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rFonts w:hint="eastAsia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8"/>
                              <w:rFonts w:hint="eastAsia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rFonts w:hint="eastAsia"/>
                              <w:sz w:val="30"/>
                              <w:szCs w:val="30"/>
                            </w:rPr>
                            <w:t>18</w:t>
                          </w:r>
                          <w:r>
                            <w:rPr>
                              <w:rStyle w:val="8"/>
                              <w:rFonts w:hint="eastAsia"/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rStyle w:val="8"/>
                              <w:rFonts w:hint="eastAsia"/>
                              <w:sz w:val="30"/>
                              <w:szCs w:val="3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DajL89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81FDC7">
                    <w:pPr>
                      <w:pStyle w:val="3"/>
                      <w:rPr>
                        <w:rStyle w:val="8"/>
                        <w:rFonts w:hint="eastAsia"/>
                        <w:sz w:val="30"/>
                        <w:szCs w:val="30"/>
                      </w:rPr>
                    </w:pPr>
                    <w:r>
                      <w:rPr>
                        <w:rStyle w:val="8"/>
                        <w:rFonts w:hint="eastAsia"/>
                        <w:sz w:val="30"/>
                        <w:szCs w:val="30"/>
                      </w:rPr>
                      <w:t xml:space="preserve">— </w:t>
                    </w:r>
                    <w:r>
                      <w:rPr>
                        <w:rStyle w:val="8"/>
                        <w:rFonts w:hint="eastAsia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8"/>
                        <w:rFonts w:hint="eastAsia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Style w:val="8"/>
                        <w:rFonts w:hint="eastAsia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Style w:val="8"/>
                        <w:rFonts w:hint="eastAsia"/>
                        <w:sz w:val="30"/>
                        <w:szCs w:val="30"/>
                      </w:rPr>
                      <w:t>18</w:t>
                    </w:r>
                    <w:r>
                      <w:rPr>
                        <w:rStyle w:val="8"/>
                        <w:rFonts w:hint="eastAsia"/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rStyle w:val="8"/>
                        <w:rFonts w:hint="eastAsia"/>
                        <w:sz w:val="30"/>
                        <w:szCs w:val="3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4" name="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EC7AAF7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0v9LC0AAAAAMBAAAPAAAAAAAAAAEA&#10;IAAAACIAAABkcnMvZG93bnJldi54bWxQSwECFAAUAAAACACHTuJAm8S+ot4BAAC9AwAADgAAAAAA&#10;AAABACAAAAAfAQAAZHJzL2Uyb0RvYy54bWxQSwUGAAAAAAYABgBZAQAAb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EC7AAF7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52"/>
  <w:bordersDoNotSurroundHeader w:val="1"/>
  <w:bordersDoNotSurroundFooter w:val="1"/>
  <w:documentProtection w:enforcement="0"/>
  <w:defaultTabStop w:val="420"/>
  <w:hyphenationZone w:val="360"/>
  <w:drawingGridHorizontalSpacing w:val="139"/>
  <w:drawingGridVerticalSpacing w:val="205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CBFF09"/>
    <w:rsid w:val="099B5350"/>
    <w:rsid w:val="173F617E"/>
    <w:rsid w:val="1C9A58AD"/>
    <w:rsid w:val="2BEDDEB1"/>
    <w:rsid w:val="2C6F1D0A"/>
    <w:rsid w:val="32FF7A03"/>
    <w:rsid w:val="39273424"/>
    <w:rsid w:val="39FD361F"/>
    <w:rsid w:val="3BFEA316"/>
    <w:rsid w:val="3D9FDB46"/>
    <w:rsid w:val="3DA98BA4"/>
    <w:rsid w:val="3DBFEE50"/>
    <w:rsid w:val="3E5DB965"/>
    <w:rsid w:val="3F3DCC44"/>
    <w:rsid w:val="3F4FFA78"/>
    <w:rsid w:val="3F79AE5D"/>
    <w:rsid w:val="3FDFB5C4"/>
    <w:rsid w:val="3FE761BF"/>
    <w:rsid w:val="3FFE75D7"/>
    <w:rsid w:val="42F77734"/>
    <w:rsid w:val="46DFE360"/>
    <w:rsid w:val="4DAE335E"/>
    <w:rsid w:val="4FE322A3"/>
    <w:rsid w:val="53F79C1F"/>
    <w:rsid w:val="5677AC93"/>
    <w:rsid w:val="5B3FAD75"/>
    <w:rsid w:val="5D253943"/>
    <w:rsid w:val="5F37D373"/>
    <w:rsid w:val="5FDF402C"/>
    <w:rsid w:val="5FFE39CC"/>
    <w:rsid w:val="63FB145F"/>
    <w:rsid w:val="673F0E11"/>
    <w:rsid w:val="67760FAA"/>
    <w:rsid w:val="677BFA67"/>
    <w:rsid w:val="67FBC4BA"/>
    <w:rsid w:val="69BA4EF6"/>
    <w:rsid w:val="6A7B4179"/>
    <w:rsid w:val="6BECE135"/>
    <w:rsid w:val="6BF70C11"/>
    <w:rsid w:val="6CFF023C"/>
    <w:rsid w:val="6DAFEF40"/>
    <w:rsid w:val="6DBA1C90"/>
    <w:rsid w:val="6DEBE5DA"/>
    <w:rsid w:val="6E7FED34"/>
    <w:rsid w:val="6EEF5ADC"/>
    <w:rsid w:val="6FFA3141"/>
    <w:rsid w:val="73F3BC63"/>
    <w:rsid w:val="74FF35B2"/>
    <w:rsid w:val="756CE4FD"/>
    <w:rsid w:val="767E6F7C"/>
    <w:rsid w:val="77EC8ED9"/>
    <w:rsid w:val="79F7DD16"/>
    <w:rsid w:val="7B152057"/>
    <w:rsid w:val="7B3DAA73"/>
    <w:rsid w:val="7B4DAA85"/>
    <w:rsid w:val="7B6BB677"/>
    <w:rsid w:val="7BCBFF09"/>
    <w:rsid w:val="7BF414F3"/>
    <w:rsid w:val="7CBF3B64"/>
    <w:rsid w:val="7DC2F1C4"/>
    <w:rsid w:val="7DF6B7ED"/>
    <w:rsid w:val="7EDD6C81"/>
    <w:rsid w:val="7EE9D70E"/>
    <w:rsid w:val="7EEA1F88"/>
    <w:rsid w:val="7F3F74DF"/>
    <w:rsid w:val="7F4014AA"/>
    <w:rsid w:val="7F759A7A"/>
    <w:rsid w:val="7F7F57F3"/>
    <w:rsid w:val="7FB78F45"/>
    <w:rsid w:val="7FF53FF2"/>
    <w:rsid w:val="7FFB2D48"/>
    <w:rsid w:val="7FFD8951"/>
    <w:rsid w:val="7FFD90A2"/>
    <w:rsid w:val="7FFFB44D"/>
    <w:rsid w:val="97FFD26E"/>
    <w:rsid w:val="9BE5128B"/>
    <w:rsid w:val="ABF764F5"/>
    <w:rsid w:val="ABFF395C"/>
    <w:rsid w:val="AEFDA9E8"/>
    <w:rsid w:val="AFBD389A"/>
    <w:rsid w:val="AFD57977"/>
    <w:rsid w:val="B767218B"/>
    <w:rsid w:val="B7EF610C"/>
    <w:rsid w:val="BBEE1714"/>
    <w:rsid w:val="BDF5559C"/>
    <w:rsid w:val="BEFBFFB6"/>
    <w:rsid w:val="BFDF0D1A"/>
    <w:rsid w:val="BFFB9AA6"/>
    <w:rsid w:val="CC87D550"/>
    <w:rsid w:val="CFFEA600"/>
    <w:rsid w:val="DBECA5D8"/>
    <w:rsid w:val="DFBB1191"/>
    <w:rsid w:val="DFBC790C"/>
    <w:rsid w:val="DFF89980"/>
    <w:rsid w:val="EBFF14D6"/>
    <w:rsid w:val="EDEDD0AC"/>
    <w:rsid w:val="EDFF22C1"/>
    <w:rsid w:val="EEE5A40A"/>
    <w:rsid w:val="F2FF6120"/>
    <w:rsid w:val="FA5B89CA"/>
    <w:rsid w:val="FBBF623D"/>
    <w:rsid w:val="FCCBA4AC"/>
    <w:rsid w:val="FCE96DAB"/>
    <w:rsid w:val="FDFBAFD5"/>
    <w:rsid w:val="FDFF75DB"/>
    <w:rsid w:val="FEED3D97"/>
    <w:rsid w:val="FEF38A93"/>
    <w:rsid w:val="FF5E5B91"/>
    <w:rsid w:val="FF6679DB"/>
    <w:rsid w:val="FFBDA729"/>
    <w:rsid w:val="FFBE91DC"/>
    <w:rsid w:val="FFDD02A6"/>
    <w:rsid w:val="FFF1D80C"/>
    <w:rsid w:val="FFFBC5EE"/>
    <w:rsid w:val="FFFDAA9E"/>
    <w:rsid w:val="FFFDCF8C"/>
    <w:rsid w:val="FFFE51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unhideWhenUsed/>
    <w:qFormat/>
    <w:uiPriority w:val="99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16"/>
      <w:szCs w:val="16"/>
      <w:lang w:val="zh-CN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仿宋_GB2312" w:cs="宋体"/>
      <w:kern w:val="0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customStyle="1" w:styleId="10">
    <w:name w:val="Table Paragraph"/>
    <w:basedOn w:val="1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1721</Words>
  <Characters>3736</Characters>
  <Lines>0</Lines>
  <Paragraphs>0</Paragraphs>
  <TotalTime>17</TotalTime>
  <ScaleCrop>false</ScaleCrop>
  <LinksUpToDate>false</LinksUpToDate>
  <CharactersWithSpaces>4160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2026-01-09T19:04:00Z</dcterms:created>
  <dc:creator>test</dc:creator>
  <cp:lastModifiedBy>from sara with love</cp:lastModifiedBy>
  <cp:lastPrinted>2026-01-10T09:11:00Z</cp:lastPrinted>
  <dcterms:modified xsi:type="dcterms:W3CDTF">2026-01-20T07:22:33Z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7CF5F4FA37C94F39AAB59DFEBB440E7A_13</vt:lpwstr>
  </property>
  <property fmtid="{D5CDD505-2E9C-101B-9397-08002B2CF9AE}" pid="4" name="KSOTemplateDocerSaveRecord">
    <vt:lpwstr>eyJoZGlkIjoiZjQzNjc4NzIwZDFlYTM1NGJlNjg5YjQ3ODQ5NmYzMGUiLCJ1c2VySWQiOiI4ODg0NTM3OTgifQ==</vt:lpwstr>
  </property>
</Properties>
</file>