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4"/>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82"/>
        <w:gridCol w:w="455"/>
        <w:gridCol w:w="251"/>
        <w:gridCol w:w="426"/>
        <w:gridCol w:w="147"/>
        <w:gridCol w:w="985"/>
        <w:gridCol w:w="449"/>
        <w:gridCol w:w="419"/>
        <w:gridCol w:w="549"/>
        <w:gridCol w:w="232"/>
        <w:gridCol w:w="74"/>
        <w:gridCol w:w="321"/>
        <w:gridCol w:w="365"/>
        <w:gridCol w:w="421"/>
        <w:gridCol w:w="146"/>
        <w:gridCol w:w="709"/>
        <w:gridCol w:w="144"/>
        <w:gridCol w:w="517"/>
        <w:gridCol w:w="475"/>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exact"/>
          <w:jc w:val="center"/>
        </w:trPr>
        <w:tc>
          <w:tcPr>
            <w:tcW w:w="1444" w:type="dxa"/>
            <w:gridSpan w:val="3"/>
            <w:vAlign w:val="center"/>
          </w:tcPr>
          <w:p w14:paraId="478FB28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9"/>
            <w:vAlign w:val="center"/>
          </w:tcPr>
          <w:p w14:paraId="6EC0EDDC">
            <w:pPr>
              <w:rPr>
                <w:rFonts w:hint="eastAsia" w:ascii="华文中宋" w:hAnsi="华文中宋" w:eastAsia="华文中宋" w:cs="Times New Roman"/>
                <w:szCs w:val="21"/>
              </w:rPr>
            </w:pPr>
            <w:r>
              <w:rPr>
                <w:rFonts w:hint="eastAsia" w:ascii="仿宋" w:hAnsi="仿宋" w:eastAsia="仿宋" w:cs="仿宋"/>
                <w:sz w:val="21"/>
                <w:szCs w:val="21"/>
              </w:rPr>
              <w:t>鑫铂瑞成为全球锂电铜箔领域“黑马”</w:t>
            </w:r>
          </w:p>
        </w:tc>
        <w:tc>
          <w:tcPr>
            <w:tcW w:w="1962" w:type="dxa"/>
            <w:gridSpan w:val="5"/>
            <w:vAlign w:val="center"/>
          </w:tcPr>
          <w:p w14:paraId="5D297B7C">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5"/>
            <w:vAlign w:val="center"/>
          </w:tcPr>
          <w:p w14:paraId="032A9FD8">
            <w:pPr>
              <w:spacing w:line="300" w:lineRule="exact"/>
              <w:rPr>
                <w:rFonts w:hint="default" w:ascii="仿宋" w:hAnsi="仿宋" w:eastAsia="仿宋" w:cs="Times New Roman"/>
                <w:color w:val="000000"/>
                <w:szCs w:val="21"/>
                <w:lang w:val="en-US"/>
              </w:rPr>
            </w:pPr>
            <w:r>
              <w:rPr>
                <w:rFonts w:hint="eastAsia" w:ascii="仿宋" w:hAnsi="仿宋" w:eastAsia="仿宋" w:cs="Times New Roman"/>
                <w:color w:val="000000"/>
                <w:sz w:val="21"/>
                <w:szCs w:val="21"/>
                <w:lang w:val="en-US" w:eastAsia="zh-CN"/>
              </w:rPr>
              <w:t>消息（报刊）</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444" w:type="dxa"/>
            <w:gridSpan w:val="3"/>
            <w:vAlign w:val="center"/>
          </w:tcPr>
          <w:p w14:paraId="3FF5D954">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532" w:type="dxa"/>
            <w:gridSpan w:val="9"/>
            <w:vAlign w:val="center"/>
          </w:tcPr>
          <w:p w14:paraId="559F53AA">
            <w:pPr>
              <w:spacing w:line="300" w:lineRule="exact"/>
              <w:rPr>
                <w:rFonts w:hint="default" w:ascii="华文中宋" w:hAnsi="华文中宋" w:eastAsia="华文中宋" w:cs="Times New Roman"/>
                <w:color w:val="000000"/>
                <w:szCs w:val="21"/>
                <w:lang w:val="en-US" w:eastAsia="zh-CN"/>
              </w:rPr>
            </w:pPr>
            <w:r>
              <w:rPr>
                <w:rFonts w:hint="eastAsia" w:ascii="仿宋" w:hAnsi="仿宋" w:eastAsia="仿宋" w:cs="Times New Roman"/>
                <w:color w:val="000000"/>
                <w:kern w:val="2"/>
                <w:sz w:val="21"/>
                <w:szCs w:val="21"/>
                <w:lang w:val="en-US" w:eastAsia="zh-CN"/>
              </w:rPr>
              <w:t>713字</w:t>
            </w:r>
          </w:p>
        </w:tc>
        <w:tc>
          <w:tcPr>
            <w:tcW w:w="1253" w:type="dxa"/>
            <w:gridSpan w:val="4"/>
            <w:vAlign w:val="center"/>
          </w:tcPr>
          <w:p w14:paraId="5C598D07">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6"/>
            <w:vAlign w:val="center"/>
          </w:tcPr>
          <w:p w14:paraId="72843170">
            <w:pPr>
              <w:spacing w:line="300" w:lineRule="exact"/>
              <w:rPr>
                <w:rFonts w:hint="eastAsia" w:ascii="仿宋_GB2312" w:hAnsi="仿宋" w:eastAsia="仿宋_GB2312" w:cs="Times New Roman"/>
                <w:color w:val="000000"/>
                <w:szCs w:val="21"/>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444" w:type="dxa"/>
            <w:gridSpan w:val="3"/>
            <w:vAlign w:val="center"/>
          </w:tcPr>
          <w:p w14:paraId="6F243A8B">
            <w:pPr>
              <w:spacing w:line="300" w:lineRule="exact"/>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spacing w:line="300" w:lineRule="exact"/>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853" w:type="dxa"/>
            <w:gridSpan w:val="10"/>
            <w:vAlign w:val="center"/>
          </w:tcPr>
          <w:p w14:paraId="3FC385AD">
            <w:pPr>
              <w:spacing w:line="300" w:lineRule="exact"/>
              <w:rPr>
                <w:rFonts w:hint="default" w:ascii="仿宋_GB2312" w:hAnsi="华文中宋" w:eastAsia="仿宋_GB2312" w:cs="Times New Roman"/>
                <w:color w:val="000000"/>
                <w:szCs w:val="21"/>
                <w:lang w:val="en-US" w:eastAsia="zh-CN"/>
              </w:rPr>
            </w:pPr>
            <w:r>
              <w:rPr>
                <w:rFonts w:hint="eastAsia" w:ascii="仿宋" w:hAnsi="仿宋" w:eastAsia="仿宋" w:cs="仿宋"/>
                <w:color w:val="000000"/>
                <w:sz w:val="21"/>
                <w:szCs w:val="21"/>
                <w:lang w:val="en-US" w:eastAsia="zh-CN"/>
              </w:rPr>
              <w:t>黄露芝</w:t>
            </w:r>
          </w:p>
        </w:tc>
        <w:tc>
          <w:tcPr>
            <w:tcW w:w="786" w:type="dxa"/>
            <w:gridSpan w:val="2"/>
            <w:vAlign w:val="center"/>
          </w:tcPr>
          <w:p w14:paraId="4AEC072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548" w:type="dxa"/>
            <w:gridSpan w:val="7"/>
            <w:vAlign w:val="center"/>
          </w:tcPr>
          <w:p w14:paraId="5BDA4930">
            <w:pPr>
              <w:spacing w:line="300" w:lineRule="exact"/>
              <w:rPr>
                <w:rFonts w:hint="eastAsia" w:ascii="仿宋" w:hAnsi="仿宋" w:eastAsia="仿宋" w:cs="Times New Roman"/>
                <w:color w:val="000000"/>
                <w:w w:val="95"/>
                <w:szCs w:val="21"/>
              </w:rPr>
            </w:pPr>
            <w:r>
              <w:rPr>
                <w:rFonts w:hint="eastAsia" w:ascii="仿宋" w:hAnsi="仿宋" w:eastAsia="仿宋" w:cs="Times New Roman"/>
                <w:color w:val="000000"/>
                <w:w w:val="95"/>
                <w:kern w:val="2"/>
                <w:sz w:val="21"/>
                <w:szCs w:val="21"/>
                <w:lang w:val="en-US" w:eastAsia="zh-CN"/>
              </w:rPr>
              <w:t>郑睦华、王冬梅、蔡江曼</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4" w:type="dxa"/>
            <w:gridSpan w:val="3"/>
            <w:vAlign w:val="center"/>
          </w:tcPr>
          <w:p w14:paraId="2C79F53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spacing w:line="300" w:lineRule="exact"/>
              <w:jc w:val="both"/>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鹰潭市融媒体中心</w:t>
            </w:r>
          </w:p>
        </w:tc>
        <w:tc>
          <w:tcPr>
            <w:tcW w:w="1962" w:type="dxa"/>
            <w:gridSpan w:val="6"/>
            <w:vAlign w:val="center"/>
          </w:tcPr>
          <w:p w14:paraId="64AB609E">
            <w:pPr>
              <w:spacing w:line="300" w:lineRule="exact"/>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1DA6764D">
            <w:pPr>
              <w:spacing w:line="300" w:lineRule="exact"/>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7"/>
            <w:vAlign w:val="center"/>
          </w:tcPr>
          <w:p w14:paraId="161526D7">
            <w:pPr>
              <w:spacing w:line="300" w:lineRule="exact"/>
              <w:rPr>
                <w:rFonts w:hint="default" w:ascii="仿宋_GB2312" w:hAnsi="仿宋" w:eastAsia="仿宋_GB2312" w:cs="Times New Roman"/>
                <w:color w:val="000000"/>
                <w:sz w:val="18"/>
                <w:szCs w:val="18"/>
                <w:highlight w:val="green"/>
                <w:lang w:val="en-US" w:eastAsia="zh-CN"/>
              </w:rPr>
            </w:pPr>
            <w:r>
              <w:rPr>
                <w:rFonts w:hint="eastAsia" w:ascii="仿宋" w:hAnsi="仿宋" w:eastAsia="仿宋" w:cs="Times New Roman"/>
                <w:color w:val="000000"/>
                <w:sz w:val="21"/>
                <w:szCs w:val="21"/>
                <w:lang w:val="en-US"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2268" w:type="dxa"/>
            <w:gridSpan w:val="6"/>
            <w:vAlign w:val="center"/>
          </w:tcPr>
          <w:p w14:paraId="7546E08B">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3815" w:type="dxa"/>
            <w:gridSpan w:val="9"/>
            <w:vAlign w:val="center"/>
          </w:tcPr>
          <w:p w14:paraId="3B213BAB">
            <w:pPr>
              <w:spacing w:line="300" w:lineRule="exact"/>
              <w:rPr>
                <w:rFonts w:hint="eastAsia"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一版</w:t>
            </w:r>
          </w:p>
        </w:tc>
        <w:tc>
          <w:tcPr>
            <w:tcW w:w="1516" w:type="dxa"/>
            <w:gridSpan w:val="4"/>
            <w:vAlign w:val="center"/>
          </w:tcPr>
          <w:p w14:paraId="04FADCAD">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2032" w:type="dxa"/>
            <w:gridSpan w:val="3"/>
            <w:vAlign w:val="center"/>
          </w:tcPr>
          <w:p w14:paraId="26F08C40">
            <w:pPr>
              <w:spacing w:line="300" w:lineRule="exact"/>
              <w:rPr>
                <w:rFonts w:hint="eastAsia" w:ascii="仿宋" w:hAnsi="仿宋" w:eastAsia="仿宋" w:cs="Times New Roman"/>
                <w:color w:val="000000"/>
                <w:sz w:val="21"/>
                <w:szCs w:val="21"/>
              </w:rPr>
            </w:pPr>
            <w:r>
              <w:rPr>
                <w:rFonts w:hint="eastAsia" w:ascii="仿宋" w:hAnsi="仿宋" w:eastAsia="仿宋" w:cs="Times New Roman"/>
                <w:color w:val="000000"/>
                <w:sz w:val="21"/>
                <w:szCs w:val="21"/>
              </w:rPr>
              <w:t>202</w:t>
            </w:r>
            <w:r>
              <w:rPr>
                <w:rFonts w:hint="eastAsia" w:ascii="仿宋" w:hAnsi="仿宋" w:eastAsia="仿宋" w:cs="Times New Roman"/>
                <w:color w:val="000000"/>
                <w:sz w:val="21"/>
                <w:szCs w:val="21"/>
                <w:lang w:val="en-US" w:eastAsia="zh-CN"/>
              </w:rPr>
              <w:t>5</w:t>
            </w:r>
            <w:r>
              <w:rPr>
                <w:rFonts w:hint="eastAsia" w:ascii="仿宋" w:hAnsi="仿宋" w:eastAsia="仿宋" w:cs="Times New Roman"/>
                <w:color w:val="000000"/>
                <w:sz w:val="21"/>
                <w:szCs w:val="21"/>
              </w:rPr>
              <w:t>年</w:t>
            </w:r>
            <w:r>
              <w:rPr>
                <w:rFonts w:hint="eastAsia" w:ascii="仿宋" w:hAnsi="仿宋" w:eastAsia="仿宋" w:cs="Times New Roman"/>
                <w:color w:val="000000"/>
                <w:sz w:val="21"/>
                <w:szCs w:val="21"/>
                <w:lang w:val="en-US" w:eastAsia="zh-CN"/>
              </w:rPr>
              <w:t>5</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21</w:t>
            </w:r>
            <w:r>
              <w:rPr>
                <w:rFonts w:hint="eastAsia" w:ascii="仿宋" w:hAnsi="仿宋" w:eastAsia="仿宋" w:cs="Times New Roman"/>
                <w:color w:val="000000"/>
                <w:sz w:val="21"/>
                <w:szCs w:val="21"/>
              </w:rPr>
              <w:t>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44" w:type="dxa"/>
            <w:gridSpan w:val="3"/>
            <w:vAlign w:val="center"/>
          </w:tcPr>
          <w:p w14:paraId="6D8AEC4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2"/>
            <w:vAlign w:val="center"/>
          </w:tcPr>
          <w:p w14:paraId="059685E2">
            <w:pPr>
              <w:spacing w:line="300" w:lineRule="exact"/>
              <w:rPr>
                <w:rFonts w:hint="eastAsia" w:ascii="仿宋" w:hAnsi="仿宋" w:eastAsia="仿宋" w:cs="Times New Roman"/>
                <w:color w:val="000000"/>
                <w:szCs w:val="21"/>
              </w:rPr>
            </w:pPr>
          </w:p>
        </w:tc>
        <w:tc>
          <w:tcPr>
            <w:tcW w:w="2834" w:type="dxa"/>
            <w:gridSpan w:val="6"/>
            <w:vAlign w:val="center"/>
          </w:tcPr>
          <w:p w14:paraId="7A9AE3C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spacing w:line="300" w:lineRule="exact"/>
              <w:jc w:val="center"/>
              <w:rPr>
                <w:rFonts w:hint="eastAsia"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989" w:type="dxa"/>
            <w:gridSpan w:val="2"/>
            <w:vAlign w:val="center"/>
          </w:tcPr>
          <w:p w14:paraId="62F2972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0"/>
            <w:vAlign w:val="center"/>
          </w:tcPr>
          <w:p w14:paraId="21DC34AD">
            <w:pPr>
              <w:spacing w:line="300" w:lineRule="exact"/>
              <w:ind w:firstLine="416" w:firstLineChars="200"/>
              <w:rPr>
                <w:rFonts w:hint="eastAsia" w:ascii="仿宋" w:hAnsi="仿宋" w:eastAsia="仿宋" w:cs="Times New Roman"/>
                <w:color w:val="000000"/>
                <w:w w:val="95"/>
                <w:szCs w:val="21"/>
              </w:rPr>
            </w:pPr>
            <w:r>
              <w:rPr>
                <w:rFonts w:hint="eastAsia" w:ascii="仿宋" w:hAnsi="仿宋" w:eastAsia="仿宋" w:cs="仿宋"/>
                <w:color w:val="000000"/>
                <w:kern w:val="2"/>
                <w:sz w:val="21"/>
                <w:szCs w:val="21"/>
                <w:lang w:val="en-US" w:eastAsia="zh-CN"/>
              </w:rPr>
              <w:t>如何把科技创新这个“关键变量”转化为高质量发展的“最大增量”？记者深入挖掘</w:t>
            </w:r>
            <w:r>
              <w:rPr>
                <w:rFonts w:hint="eastAsia" w:ascii="仿宋" w:hAnsi="仿宋" w:eastAsia="仿宋" w:cs="仿宋"/>
                <w:color w:val="000000"/>
                <w:kern w:val="2"/>
                <w:sz w:val="21"/>
                <w:szCs w:val="21"/>
              </w:rPr>
              <w:t>江西鑫铂瑞科技有限公司四年内三次突破锂电铜箔技术边界的创新历程</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生动呈现企业</w:t>
            </w:r>
            <w:r>
              <w:rPr>
                <w:rFonts w:hint="eastAsia" w:ascii="仿宋" w:hAnsi="仿宋" w:eastAsia="仿宋" w:cs="仿宋"/>
                <w:color w:val="000000"/>
                <w:kern w:val="2"/>
                <w:sz w:val="21"/>
                <w:szCs w:val="21"/>
              </w:rPr>
              <w:t>技术攻关细节，</w:t>
            </w:r>
            <w:r>
              <w:rPr>
                <w:rFonts w:hint="eastAsia" w:ascii="仿宋" w:hAnsi="仿宋" w:eastAsia="仿宋" w:cs="仿宋"/>
                <w:color w:val="000000"/>
                <w:kern w:val="2"/>
                <w:sz w:val="21"/>
                <w:szCs w:val="21"/>
                <w:lang w:val="en-US" w:eastAsia="zh-CN"/>
              </w:rPr>
              <w:t>展现了这家</w:t>
            </w:r>
            <w:r>
              <w:rPr>
                <w:rFonts w:hint="eastAsia" w:ascii="仿宋" w:hAnsi="仿宋" w:eastAsia="仿宋" w:cs="仿宋"/>
                <w:color w:val="000000"/>
                <w:kern w:val="2"/>
                <w:sz w:val="21"/>
                <w:szCs w:val="21"/>
              </w:rPr>
              <w:t>国家级高新技术企业向“新”谋远、借“智”攀高，</w:t>
            </w:r>
            <w:r>
              <w:rPr>
                <w:rFonts w:hint="eastAsia" w:ascii="仿宋" w:hAnsi="仿宋" w:eastAsia="仿宋" w:cs="仿宋"/>
                <w:color w:val="000000"/>
                <w:kern w:val="2"/>
                <w:sz w:val="21"/>
                <w:szCs w:val="21"/>
                <w:lang w:val="en-US" w:eastAsia="zh-CN"/>
              </w:rPr>
              <w:t>聚力</w:t>
            </w:r>
            <w:r>
              <w:rPr>
                <w:rFonts w:hint="eastAsia" w:ascii="仿宋" w:hAnsi="仿宋" w:eastAsia="仿宋" w:cs="仿宋"/>
                <w:color w:val="000000"/>
                <w:kern w:val="2"/>
                <w:sz w:val="21"/>
                <w:szCs w:val="21"/>
              </w:rPr>
              <w:t>打造国内铜箔行业首家5G+工业互联网智慧工厂，以数字化升级实现产能4倍增长、营收翻倍的发展成果，生动刻画了鑫铂瑞在全球锂电铜箔领域的“黑马”崛起之路。</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exact"/>
          <w:jc w:val="center"/>
        </w:trPr>
        <w:tc>
          <w:tcPr>
            <w:tcW w:w="989" w:type="dxa"/>
            <w:gridSpan w:val="2"/>
            <w:vAlign w:val="center"/>
          </w:tcPr>
          <w:p w14:paraId="2A4F3D2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0"/>
            <w:vAlign w:val="center"/>
          </w:tcPr>
          <w:p w14:paraId="3392C1DA">
            <w:pPr>
              <w:spacing w:line="300" w:lineRule="exact"/>
              <w:ind w:firstLine="416" w:firstLineChars="200"/>
              <w:rPr>
                <w:rFonts w:hint="eastAsia" w:ascii="仿宋" w:hAnsi="仿宋" w:eastAsia="仿宋" w:cs="Times New Roman"/>
                <w:color w:val="000000"/>
                <w:szCs w:val="21"/>
              </w:rPr>
            </w:pPr>
            <w:r>
              <w:rPr>
                <w:rFonts w:hint="eastAsia" w:ascii="仿宋" w:hAnsi="仿宋" w:eastAsia="仿宋" w:cs="Times New Roman"/>
                <w:color w:val="000000"/>
                <w:kern w:val="2"/>
                <w:sz w:val="21"/>
                <w:szCs w:val="21"/>
              </w:rPr>
              <w:t>该报道彰显了民营企业科技创新的硬核实力，为制造业转型升级提供</w:t>
            </w:r>
            <w:r>
              <w:rPr>
                <w:rFonts w:hint="eastAsia" w:ascii="仿宋" w:hAnsi="仿宋" w:eastAsia="仿宋" w:cs="Times New Roman"/>
                <w:color w:val="000000"/>
                <w:kern w:val="2"/>
                <w:sz w:val="21"/>
                <w:szCs w:val="21"/>
                <w:lang w:val="en-US" w:eastAsia="zh-CN"/>
              </w:rPr>
              <w:t>了</w:t>
            </w:r>
            <w:r>
              <w:rPr>
                <w:rFonts w:hint="eastAsia" w:ascii="仿宋" w:hAnsi="仿宋" w:eastAsia="仿宋" w:cs="Times New Roman"/>
                <w:color w:val="000000"/>
                <w:kern w:val="2"/>
                <w:sz w:val="21"/>
                <w:szCs w:val="21"/>
              </w:rPr>
              <w:t>鲜活样本。作为“世界铜都”鹰潭的产业标杆，</w:t>
            </w:r>
            <w:r>
              <w:rPr>
                <w:rFonts w:hint="eastAsia" w:ascii="仿宋" w:hAnsi="仿宋" w:eastAsia="仿宋" w:cs="仿宋"/>
                <w:color w:val="000000"/>
                <w:kern w:val="2"/>
                <w:sz w:val="21"/>
                <w:szCs w:val="21"/>
              </w:rPr>
              <w:t>鑫铂瑞</w:t>
            </w:r>
            <w:r>
              <w:rPr>
                <w:rFonts w:hint="eastAsia" w:ascii="仿宋" w:hAnsi="仿宋" w:eastAsia="仿宋" w:cs="Times New Roman"/>
                <w:color w:val="000000"/>
                <w:kern w:val="2"/>
                <w:sz w:val="21"/>
                <w:szCs w:val="21"/>
              </w:rPr>
              <w:t>的快速发展带动</w:t>
            </w:r>
            <w:r>
              <w:rPr>
                <w:rFonts w:hint="eastAsia" w:ascii="仿宋" w:hAnsi="仿宋" w:eastAsia="仿宋" w:cs="Times New Roman"/>
                <w:color w:val="000000"/>
                <w:kern w:val="2"/>
                <w:sz w:val="21"/>
                <w:szCs w:val="21"/>
                <w:lang w:val="en-US" w:eastAsia="zh-CN"/>
              </w:rPr>
              <w:t>了</w:t>
            </w:r>
            <w:r>
              <w:rPr>
                <w:rFonts w:hint="eastAsia" w:ascii="仿宋" w:hAnsi="仿宋" w:eastAsia="仿宋" w:cs="Times New Roman"/>
                <w:color w:val="000000"/>
                <w:kern w:val="2"/>
                <w:sz w:val="21"/>
                <w:szCs w:val="21"/>
              </w:rPr>
              <w:t>区域产业链升级，4万吨年产能与数字化生产体系，既缓解了高端铜箔市场供给缺口，又通过能耗降低5%的成效践行绿色发展理念，兼具经济价值与社会价值，传递了科技创新驱动高质量发展的正能量。</w:t>
            </w: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exact"/>
          <w:jc w:val="center"/>
        </w:trPr>
        <w:tc>
          <w:tcPr>
            <w:tcW w:w="707" w:type="dxa"/>
            <w:vMerge w:val="restart"/>
            <w:tcBorders>
              <w:top w:val="single" w:color="auto" w:sz="4" w:space="0"/>
              <w:left w:val="single" w:color="auto" w:sz="4" w:space="0"/>
              <w:bottom w:val="single" w:color="auto" w:sz="4" w:space="0"/>
              <w:right w:val="single" w:color="auto" w:sz="4" w:space="0"/>
            </w:tcBorders>
            <w:vAlign w:val="center"/>
          </w:tcPr>
          <w:p w14:paraId="1624CB43">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4D4FC6B6">
            <w:pPr>
              <w:spacing w:line="300" w:lineRule="exact"/>
              <w:jc w:val="center"/>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437C5BA7">
            <w:pPr>
              <w:spacing w:line="300" w:lineRule="exact"/>
              <w:rPr>
                <w:rFonts w:hint="eastAsia" w:ascii="仿宋" w:hAnsi="仿宋" w:eastAsia="仿宋"/>
                <w:color w:val="000000"/>
                <w:sz w:val="21"/>
                <w:szCs w:val="21"/>
              </w:rPr>
            </w:pP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A4B0500">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B0B9D34">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12782296">
            <w:pPr>
              <w:spacing w:line="300" w:lineRule="exact"/>
              <w:rPr>
                <w:rFonts w:hint="eastAsia" w:ascii="仿宋" w:hAnsi="仿宋" w:eastAsia="仿宋"/>
                <w:color w:val="000000"/>
                <w:sz w:val="21"/>
                <w:szCs w:val="21"/>
              </w:rPr>
            </w:pPr>
            <w:r>
              <w:rPr>
                <w:rFonts w:hint="eastAsia" w:ascii="仿宋" w:hAnsi="仿宋" w:eastAsia="仿宋"/>
                <w:color w:val="000000"/>
                <w:sz w:val="21"/>
                <w:szCs w:val="21"/>
              </w:rPr>
              <w:t xml:space="preserve">    </w:t>
            </w:r>
          </w:p>
        </w:tc>
      </w:tr>
      <w:tr w14:paraId="043A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3E9E2C12">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550D7113">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7FB7CB20">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48F89A0A">
            <w:pPr>
              <w:spacing w:line="300" w:lineRule="exact"/>
              <w:rPr>
                <w:rFonts w:hint="eastAsia" w:ascii="仿宋" w:hAnsi="仿宋" w:eastAsia="仿宋"/>
                <w:color w:val="000000"/>
                <w:sz w:val="21"/>
                <w:szCs w:val="21"/>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97FC8DF">
            <w:pPr>
              <w:widowControl/>
              <w:spacing w:line="300" w:lineRule="exact"/>
              <w:jc w:val="left"/>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649FEAF">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spacing w:line="300" w:lineRule="exact"/>
              <w:rPr>
                <w:rFonts w:hint="default" w:ascii="仿宋" w:hAnsi="仿宋" w:eastAsia="仿宋"/>
                <w:color w:val="000000"/>
                <w:sz w:val="21"/>
                <w:szCs w:val="21"/>
                <w:lang w:val="en-US" w:eastAsia="zh-CN"/>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14:paraId="17D8E805">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4"/>
            <w:tcBorders>
              <w:top w:val="single" w:color="auto" w:sz="4" w:space="0"/>
              <w:left w:val="single" w:color="auto" w:sz="4" w:space="0"/>
              <w:bottom w:val="single" w:color="auto" w:sz="4" w:space="0"/>
              <w:right w:val="single" w:color="auto" w:sz="4" w:space="0"/>
            </w:tcBorders>
            <w:vAlign w:val="center"/>
          </w:tcPr>
          <w:p w14:paraId="7749BC1D">
            <w:pPr>
              <w:spacing w:line="300" w:lineRule="exact"/>
              <w:rPr>
                <w:rFonts w:hint="default" w:ascii="仿宋" w:hAnsi="仿宋" w:eastAsia="仿宋"/>
                <w:color w:val="000000"/>
                <w:sz w:val="21"/>
                <w:szCs w:val="21"/>
                <w:lang w:val="en-US" w:eastAsia="zh-CN"/>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62C29C7E">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spacing w:line="300" w:lineRule="exact"/>
              <w:rPr>
                <w:rFonts w:hint="default" w:ascii="仿宋" w:hAnsi="仿宋" w:eastAsia="仿宋"/>
                <w:color w:val="000000"/>
                <w:szCs w:val="21"/>
                <w:lang w:val="en-US" w:eastAsia="zh-CN"/>
              </w:rPr>
            </w:pP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1444" w:type="dxa"/>
            <w:gridSpan w:val="3"/>
            <w:tcBorders>
              <w:bottom w:val="single" w:color="auto" w:sz="4" w:space="0"/>
            </w:tcBorders>
            <w:vAlign w:val="center"/>
          </w:tcPr>
          <w:p w14:paraId="31BD3A9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19"/>
            <w:tcBorders>
              <w:bottom w:val="single" w:color="auto" w:sz="4" w:space="0"/>
            </w:tcBorders>
            <w:vAlign w:val="center"/>
          </w:tcPr>
          <w:p w14:paraId="3D39F38E">
            <w:pPr>
              <w:spacing w:line="300" w:lineRule="exact"/>
              <w:rPr>
                <w:rFonts w:hint="eastAsia" w:ascii="仿宋" w:hAnsi="仿宋" w:eastAsia="仿宋" w:cs="Times New Roman"/>
                <w:color w:val="000000"/>
                <w:kern w:val="2"/>
                <w:sz w:val="21"/>
                <w:szCs w:val="21"/>
              </w:rPr>
            </w:pPr>
            <w:r>
              <w:rPr>
                <w:rFonts w:hint="eastAsia" w:ascii="仿宋" w:hAnsi="仿宋" w:eastAsia="仿宋" w:cs="Times New Roman"/>
                <w:color w:val="000000"/>
                <w:kern w:val="2"/>
                <w:sz w:val="21"/>
                <w:szCs w:val="21"/>
                <w:lang w:val="en-US" w:eastAsia="zh-CN"/>
              </w:rPr>
              <w:t xml:space="preserve">    作品</w:t>
            </w:r>
            <w:r>
              <w:rPr>
                <w:rFonts w:hint="eastAsia" w:ascii="仿宋" w:hAnsi="仿宋" w:eastAsia="仿宋" w:cs="Times New Roman"/>
                <w:color w:val="000000"/>
                <w:kern w:val="2"/>
                <w:sz w:val="21"/>
                <w:szCs w:val="21"/>
              </w:rPr>
              <w:t>逻辑清晰，细节鲜活</w:t>
            </w:r>
            <w:r>
              <w:rPr>
                <w:rFonts w:hint="eastAsia" w:ascii="仿宋" w:hAnsi="仿宋" w:eastAsia="仿宋" w:cs="Times New Roman"/>
                <w:color w:val="000000"/>
                <w:kern w:val="2"/>
                <w:sz w:val="21"/>
                <w:szCs w:val="21"/>
                <w:lang w:eastAsia="zh-CN"/>
              </w:rPr>
              <w:t>，</w:t>
            </w:r>
            <w:r>
              <w:rPr>
                <w:rFonts w:hint="eastAsia" w:ascii="仿宋" w:hAnsi="仿宋" w:eastAsia="仿宋" w:cs="Times New Roman"/>
                <w:color w:val="000000"/>
                <w:kern w:val="2"/>
                <w:sz w:val="21"/>
                <w:szCs w:val="21"/>
              </w:rPr>
              <w:t>数据详实，体现“短、实、新、活”的特点</w:t>
            </w:r>
            <w:r>
              <w:rPr>
                <w:rFonts w:hint="eastAsia" w:ascii="仿宋" w:hAnsi="仿宋" w:eastAsia="仿宋" w:cs="Times New Roman"/>
                <w:color w:val="000000"/>
                <w:kern w:val="2"/>
                <w:sz w:val="21"/>
                <w:szCs w:val="21"/>
                <w:lang w:eastAsia="zh-CN"/>
              </w:rPr>
              <w:t>。</w:t>
            </w:r>
            <w:r>
              <w:rPr>
                <w:rFonts w:hint="eastAsia" w:ascii="仿宋" w:hAnsi="仿宋" w:eastAsia="仿宋" w:cs="Times New Roman"/>
                <w:color w:val="000000"/>
                <w:kern w:val="2"/>
                <w:sz w:val="21"/>
                <w:szCs w:val="21"/>
                <w:lang w:val="en-US" w:eastAsia="zh-CN"/>
              </w:rPr>
              <w:t>以小见大，</w:t>
            </w:r>
            <w:r>
              <w:rPr>
                <w:rFonts w:hint="eastAsia" w:ascii="仿宋" w:hAnsi="仿宋" w:eastAsia="仿宋" w:cs="Times New Roman"/>
                <w:color w:val="000000"/>
                <w:kern w:val="2"/>
                <w:sz w:val="21"/>
                <w:szCs w:val="21"/>
              </w:rPr>
              <w:t>不仅</w:t>
            </w:r>
            <w:r>
              <w:rPr>
                <w:rFonts w:hint="eastAsia" w:ascii="仿宋" w:hAnsi="仿宋" w:eastAsia="仿宋" w:cs="Times New Roman"/>
                <w:color w:val="000000"/>
                <w:kern w:val="2"/>
                <w:sz w:val="21"/>
                <w:szCs w:val="21"/>
                <w:lang w:val="en-US" w:eastAsia="zh-CN"/>
              </w:rPr>
              <w:t>展现</w:t>
            </w:r>
            <w:r>
              <w:rPr>
                <w:rFonts w:hint="eastAsia" w:ascii="仿宋" w:hAnsi="仿宋" w:eastAsia="仿宋" w:cs="Times New Roman"/>
                <w:color w:val="000000"/>
                <w:kern w:val="2"/>
                <w:sz w:val="21"/>
                <w:szCs w:val="21"/>
              </w:rPr>
              <w:t>了企业通过核心技术攻关实现从“跟跑”到“领跑”的跨越，更</w:t>
            </w:r>
            <w:r>
              <w:rPr>
                <w:rFonts w:hint="eastAsia" w:ascii="仿宋" w:hAnsi="仿宋" w:eastAsia="仿宋" w:cs="Times New Roman"/>
                <w:color w:val="000000"/>
                <w:kern w:val="2"/>
                <w:sz w:val="21"/>
                <w:szCs w:val="21"/>
                <w:lang w:val="en-US" w:eastAsia="zh-CN"/>
              </w:rPr>
              <w:t>彰显</w:t>
            </w:r>
            <w:r>
              <w:rPr>
                <w:rFonts w:hint="eastAsia" w:ascii="仿宋" w:hAnsi="仿宋" w:eastAsia="仿宋" w:cs="Times New Roman"/>
                <w:color w:val="000000"/>
                <w:kern w:val="2"/>
                <w:sz w:val="21"/>
                <w:szCs w:val="21"/>
              </w:rPr>
              <w:t>了中国制造业突破技术壁垒、实现国产替代的坚定决心，传播了创新实干的企业家精神，具有较强的示范意义与传播价值，是一篇兼具新闻性、思想性与专业性的优质报道。</w:t>
            </w:r>
          </w:p>
          <w:p w14:paraId="5AC9897B">
            <w:pPr>
              <w:spacing w:line="300" w:lineRule="exact"/>
              <w:rPr>
                <w:rFonts w:hint="eastAsia" w:ascii="仿宋" w:hAnsi="仿宋" w:eastAsia="仿宋" w:cs="Times New Roman"/>
                <w:color w:val="000000"/>
                <w:kern w:val="2"/>
                <w:sz w:val="21"/>
                <w:szCs w:val="21"/>
              </w:rPr>
            </w:pPr>
          </w:p>
          <w:p w14:paraId="55C26058">
            <w:pPr>
              <w:spacing w:line="300" w:lineRule="exact"/>
              <w:rPr>
                <w:rFonts w:hint="eastAsia" w:ascii="仿宋" w:hAnsi="仿宋" w:eastAsia="仿宋" w:cs="Times New Roman"/>
                <w:color w:val="000000"/>
                <w:sz w:val="21"/>
                <w:szCs w:val="21"/>
              </w:rPr>
            </w:pPr>
            <w:r>
              <w:rPr>
                <w:rFonts w:hint="eastAsia" w:ascii="仿宋" w:hAnsi="仿宋" w:eastAsia="仿宋" w:cs="Times New Roman"/>
                <w:color w:val="000000"/>
                <w:spacing w:val="-2"/>
                <w:kern w:val="2"/>
                <w:sz w:val="21"/>
                <w:szCs w:val="21"/>
              </w:rPr>
              <w:t xml:space="preserve">   </w:t>
            </w:r>
            <w:r>
              <w:rPr>
                <w:rFonts w:hint="eastAsia" w:ascii="仿宋" w:hAnsi="仿宋" w:eastAsia="仿宋" w:cs="Times New Roman"/>
                <w:color w:val="000000"/>
                <w:spacing w:val="-2"/>
                <w:szCs w:val="21"/>
              </w:rPr>
              <w:t xml:space="preserve">      </w:t>
            </w:r>
            <w:r>
              <w:rPr>
                <w:rFonts w:hint="eastAsia" w:ascii="仿宋" w:hAnsi="仿宋" w:eastAsia="仿宋" w:cs="Times New Roman"/>
                <w:color w:val="000000"/>
                <w:spacing w:val="-2"/>
                <w:sz w:val="21"/>
                <w:szCs w:val="21"/>
              </w:rPr>
              <w:t>单位主要负责人签名：</w:t>
            </w:r>
            <w:r>
              <w:rPr>
                <w:rFonts w:hint="eastAsia" w:ascii="仿宋" w:hAnsi="仿宋" w:eastAsia="仿宋" w:cs="Times New Roman"/>
                <w:color w:val="000000"/>
                <w:spacing w:val="-2"/>
                <w:sz w:val="21"/>
                <w:szCs w:val="21"/>
                <w:lang w:val="en-US" w:eastAsia="zh-CN"/>
              </w:rPr>
              <w:t xml:space="preserve">                            </w:t>
            </w:r>
            <w:r>
              <w:rPr>
                <w:rFonts w:hint="eastAsia" w:ascii="仿宋" w:hAnsi="仿宋" w:eastAsia="仿宋" w:cs="Times New Roman"/>
                <w:color w:val="000000"/>
                <w:sz w:val="21"/>
                <w:szCs w:val="21"/>
              </w:rPr>
              <w:t>（盖单位公章）</w:t>
            </w:r>
          </w:p>
          <w:p w14:paraId="1CF6F4E6">
            <w:pPr>
              <w:spacing w:line="300" w:lineRule="exact"/>
              <w:rPr>
                <w:rFonts w:hint="eastAsia" w:ascii="仿宋" w:hAnsi="仿宋" w:eastAsia="仿宋" w:cs="Times New Roman"/>
                <w:color w:val="000000"/>
                <w:szCs w:val="21"/>
              </w:rPr>
            </w:pPr>
            <w:r>
              <w:rPr>
                <w:rFonts w:hint="eastAsia" w:ascii="仿宋" w:hAnsi="仿宋" w:eastAsia="仿宋" w:cs="Times New Roman"/>
                <w:color w:val="000000"/>
                <w:sz w:val="21"/>
                <w:szCs w:val="21"/>
              </w:rPr>
              <w:t xml:space="preserve">                                     </w:t>
            </w:r>
            <w:r>
              <w:rPr>
                <w:rFonts w:hint="eastAsia" w:ascii="仿宋" w:hAnsi="仿宋" w:eastAsia="仿宋" w:cs="Times New Roman"/>
                <w:color w:val="000000"/>
                <w:sz w:val="21"/>
                <w:szCs w:val="21"/>
                <w:lang w:val="en-US" w:eastAsia="zh-CN"/>
              </w:rPr>
              <w:t xml:space="preserve">                    </w:t>
            </w:r>
            <w:r>
              <w:rPr>
                <w:rFonts w:hint="eastAsia" w:ascii="仿宋" w:hAnsi="仿宋" w:eastAsia="仿宋" w:cs="Times New Roman"/>
                <w:color w:val="000000"/>
                <w:sz w:val="21"/>
                <w:szCs w:val="21"/>
              </w:rPr>
              <w:t xml:space="preserve"> </w:t>
            </w:r>
            <w:r>
              <w:rPr>
                <w:rFonts w:hint="eastAsia" w:ascii="仿宋" w:hAnsi="仿宋" w:eastAsia="仿宋" w:cs="Times New Roman"/>
                <w:color w:val="000000"/>
                <w:sz w:val="21"/>
                <w:szCs w:val="21"/>
                <w:lang w:val="en-US" w:eastAsia="zh-CN"/>
              </w:rPr>
              <w:t>2026</w:t>
            </w:r>
            <w:r>
              <w:rPr>
                <w:rFonts w:ascii="仿宋" w:hAnsi="仿宋" w:eastAsia="仿宋" w:cs="Times New Roman"/>
                <w:color w:val="000000"/>
                <w:sz w:val="21"/>
                <w:szCs w:val="21"/>
              </w:rPr>
              <w:t>年</w:t>
            </w:r>
            <w:r>
              <w:rPr>
                <w:rFonts w:hint="eastAsia" w:ascii="仿宋" w:hAnsi="仿宋" w:eastAsia="仿宋" w:cs="Times New Roman"/>
                <w:color w:val="000000"/>
                <w:sz w:val="21"/>
                <w:szCs w:val="21"/>
                <w:lang w:val="en-US" w:eastAsia="zh-CN"/>
              </w:rPr>
              <w:t>1月5</w:t>
            </w:r>
            <w:r>
              <w:rPr>
                <w:rFonts w:hint="eastAsia" w:ascii="仿宋" w:hAnsi="仿宋" w:eastAsia="仿宋" w:cs="Times New Roman"/>
                <w:color w:val="000000"/>
                <w:sz w:val="21"/>
                <w:szCs w:val="21"/>
              </w:rPr>
              <w:t>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989" w:type="dxa"/>
            <w:gridSpan w:val="2"/>
            <w:tcBorders>
              <w:top w:val="single" w:color="auto" w:sz="4" w:space="0"/>
              <w:bottom w:val="single" w:color="auto" w:sz="4" w:space="0"/>
            </w:tcBorders>
            <w:vAlign w:val="center"/>
          </w:tcPr>
          <w:p w14:paraId="1B762B3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spacing w:line="300" w:lineRule="exact"/>
              <w:rPr>
                <w:rFonts w:hint="eastAsia" w:ascii="仿宋" w:hAnsi="仿宋" w:eastAsia="仿宋" w:cs="Times New Roman"/>
                <w:color w:val="000000"/>
                <w:sz w:val="32"/>
                <w:szCs w:val="21"/>
                <w:lang w:eastAsia="zh-CN"/>
              </w:rPr>
            </w:pPr>
            <w:r>
              <w:rPr>
                <w:rFonts w:hint="eastAsia" w:ascii="仿宋" w:hAnsi="仿宋" w:eastAsia="仿宋" w:cs="Times New Roman"/>
                <w:color w:val="000000"/>
                <w:sz w:val="21"/>
                <w:szCs w:val="21"/>
                <w:lang w:val="en-US" w:eastAsia="zh-CN"/>
              </w:rPr>
              <w:t>黄露芝</w:t>
            </w:r>
          </w:p>
        </w:tc>
        <w:tc>
          <w:tcPr>
            <w:tcW w:w="1200" w:type="dxa"/>
            <w:gridSpan w:val="3"/>
            <w:tcBorders>
              <w:top w:val="single" w:color="auto" w:sz="4" w:space="0"/>
              <w:bottom w:val="single" w:color="auto" w:sz="4" w:space="0"/>
            </w:tcBorders>
            <w:vAlign w:val="center"/>
          </w:tcPr>
          <w:p w14:paraId="7C57FC4D">
            <w:pPr>
              <w:spacing w:line="300" w:lineRule="exact"/>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1"/>
            <w:tcBorders>
              <w:top w:val="single" w:color="auto" w:sz="4" w:space="0"/>
              <w:bottom w:val="single" w:color="auto" w:sz="4" w:space="0"/>
            </w:tcBorders>
            <w:vAlign w:val="center"/>
          </w:tcPr>
          <w:p w14:paraId="56771BCB">
            <w:pPr>
              <w:spacing w:line="30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17707018317</w:t>
            </w:r>
          </w:p>
        </w:tc>
      </w:tr>
    </w:tbl>
    <w:p w14:paraId="4FF1D4D6">
      <w:pPr>
        <w:spacing w:line="240" w:lineRule="auto"/>
        <w:rPr>
          <w:rFonts w:hint="eastAsia" w:ascii="仿宋" w:hAnsi="仿宋" w:eastAsia="仿宋"/>
          <w:lang w:eastAsia="zh-CN"/>
        </w:rPr>
      </w:pPr>
    </w:p>
    <w:p w14:paraId="51CFBCB4">
      <w:pPr>
        <w:spacing w:line="240" w:lineRule="auto"/>
        <w:rPr>
          <w:rFonts w:hint="eastAsia" w:ascii="仿宋" w:hAnsi="仿宋" w:eastAsia="仿宋"/>
          <w:lang w:eastAsia="zh-CN"/>
        </w:rPr>
      </w:pPr>
    </w:p>
    <w:p w14:paraId="2542B9E9">
      <w:pPr>
        <w:spacing w:line="240" w:lineRule="auto"/>
        <w:rPr>
          <w:rFonts w:hint="eastAsia" w:ascii="仿宋" w:hAnsi="仿宋" w:eastAsia="仿宋"/>
          <w:lang w:eastAsia="zh-CN"/>
        </w:rPr>
      </w:pPr>
      <w:r>
        <w:rPr>
          <w:rFonts w:hint="eastAsia" w:ascii="仿宋" w:hAnsi="仿宋" w:eastAsia="仿宋"/>
          <w:lang w:eastAsia="zh-CN"/>
        </w:rPr>
        <w:drawing>
          <wp:inline distT="0" distB="0" distL="114300" distR="114300">
            <wp:extent cx="5252085" cy="2221865"/>
            <wp:effectExtent l="0" t="0" r="5715" b="6985"/>
            <wp:docPr id="1" name="图片 1" descr="微信图片_20260112121726_393_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60112121726_393_138"/>
                    <pic:cNvPicPr>
                      <a:picLocks noChangeAspect="1"/>
                    </pic:cNvPicPr>
                  </pic:nvPicPr>
                  <pic:blipFill>
                    <a:blip r:embed="rId4"/>
                    <a:stretch>
                      <a:fillRect/>
                    </a:stretch>
                  </pic:blipFill>
                  <pic:spPr>
                    <a:xfrm>
                      <a:off x="0" y="0"/>
                      <a:ext cx="5252085" cy="2221865"/>
                    </a:xfrm>
                    <a:prstGeom prst="rect">
                      <a:avLst/>
                    </a:prstGeom>
                  </pic:spPr>
                </pic:pic>
              </a:graphicData>
            </a:graphic>
          </wp:inline>
        </w:drawing>
      </w:r>
    </w:p>
    <w:p w14:paraId="6AADD6F4">
      <w:pPr>
        <w:rPr>
          <w:rFonts w:hint="eastAsia" w:ascii="仿宋" w:hAnsi="仿宋" w:eastAsia="仿宋" w:cs="仿宋"/>
          <w:sz w:val="28"/>
          <w:szCs w:val="28"/>
        </w:rPr>
      </w:pPr>
    </w:p>
    <w:p w14:paraId="3468E1A6">
      <w:pPr>
        <w:rPr>
          <w:rFonts w:hint="eastAsia" w:ascii="仿宋" w:hAnsi="仿宋" w:eastAsia="仿宋" w:cs="仿宋"/>
          <w:sz w:val="28"/>
          <w:szCs w:val="28"/>
        </w:rPr>
      </w:pPr>
    </w:p>
    <w:p w14:paraId="6B700B42">
      <w:pPr>
        <w:rPr>
          <w:rFonts w:hint="eastAsia" w:ascii="仿宋" w:hAnsi="仿宋" w:eastAsia="仿宋" w:cs="仿宋"/>
          <w:sz w:val="28"/>
          <w:szCs w:val="28"/>
        </w:rPr>
      </w:pPr>
    </w:p>
    <w:p w14:paraId="108DBC71">
      <w:pPr>
        <w:ind w:firstLine="556" w:firstLineChars="200"/>
        <w:rPr>
          <w:rFonts w:hint="eastAsia" w:ascii="仿宋" w:hAnsi="仿宋" w:eastAsia="仿宋" w:cs="仿宋"/>
          <w:sz w:val="28"/>
          <w:szCs w:val="28"/>
        </w:rPr>
      </w:pPr>
    </w:p>
    <w:p w14:paraId="33B629D0">
      <w:pPr>
        <w:ind w:firstLine="556" w:firstLineChars="200"/>
        <w:rPr>
          <w:rFonts w:hint="eastAsia" w:ascii="仿宋" w:hAnsi="仿宋" w:eastAsia="仿宋" w:cs="仿宋"/>
          <w:sz w:val="28"/>
          <w:szCs w:val="28"/>
        </w:rPr>
      </w:pPr>
    </w:p>
    <w:p w14:paraId="5229EE25">
      <w:pPr>
        <w:ind w:firstLine="556" w:firstLineChars="200"/>
        <w:rPr>
          <w:rFonts w:hint="eastAsia" w:ascii="仿宋" w:hAnsi="仿宋" w:eastAsia="仿宋" w:cs="仿宋"/>
          <w:sz w:val="28"/>
          <w:szCs w:val="28"/>
        </w:rPr>
      </w:pPr>
    </w:p>
    <w:p w14:paraId="17DAF604">
      <w:pPr>
        <w:ind w:firstLine="556" w:firstLineChars="200"/>
        <w:rPr>
          <w:rFonts w:hint="eastAsia" w:ascii="仿宋" w:hAnsi="仿宋" w:eastAsia="仿宋" w:cs="仿宋"/>
          <w:sz w:val="28"/>
          <w:szCs w:val="28"/>
        </w:rPr>
      </w:pPr>
    </w:p>
    <w:p w14:paraId="51E630F2">
      <w:pPr>
        <w:ind w:firstLine="556" w:firstLineChars="200"/>
        <w:rPr>
          <w:rFonts w:hint="eastAsia" w:ascii="仿宋" w:hAnsi="仿宋" w:eastAsia="仿宋" w:cs="仿宋"/>
          <w:sz w:val="28"/>
          <w:szCs w:val="28"/>
        </w:rPr>
      </w:pPr>
    </w:p>
    <w:p w14:paraId="2820BE4D">
      <w:pPr>
        <w:ind w:firstLine="556" w:firstLineChars="200"/>
        <w:rPr>
          <w:rFonts w:hint="eastAsia" w:ascii="仿宋" w:hAnsi="仿宋" w:eastAsia="仿宋" w:cs="仿宋"/>
          <w:sz w:val="28"/>
          <w:szCs w:val="28"/>
        </w:rPr>
      </w:pPr>
    </w:p>
    <w:p w14:paraId="2B9A93D1">
      <w:pPr>
        <w:ind w:firstLine="556" w:firstLineChars="200"/>
        <w:rPr>
          <w:rFonts w:hint="eastAsia" w:ascii="仿宋" w:hAnsi="仿宋" w:eastAsia="仿宋" w:cs="仿宋"/>
          <w:sz w:val="28"/>
          <w:szCs w:val="28"/>
        </w:rPr>
      </w:pPr>
    </w:p>
    <w:p w14:paraId="10AC5F46">
      <w:pPr>
        <w:ind w:firstLine="556" w:firstLineChars="200"/>
        <w:rPr>
          <w:rFonts w:hint="eastAsia" w:ascii="仿宋" w:hAnsi="仿宋" w:eastAsia="仿宋" w:cs="仿宋"/>
          <w:sz w:val="28"/>
          <w:szCs w:val="28"/>
        </w:rPr>
      </w:pPr>
    </w:p>
    <w:p w14:paraId="5ECF33D3">
      <w:pPr>
        <w:ind w:firstLine="556" w:firstLineChars="200"/>
        <w:rPr>
          <w:rFonts w:hint="eastAsia" w:ascii="仿宋" w:hAnsi="仿宋" w:eastAsia="仿宋" w:cs="仿宋"/>
          <w:sz w:val="28"/>
          <w:szCs w:val="28"/>
        </w:rPr>
      </w:pPr>
    </w:p>
    <w:p w14:paraId="22B0B611">
      <w:pPr>
        <w:ind w:firstLine="556" w:firstLineChars="200"/>
        <w:rPr>
          <w:rFonts w:hint="eastAsia" w:ascii="仿宋" w:hAnsi="仿宋" w:eastAsia="仿宋" w:cs="仿宋"/>
          <w:sz w:val="28"/>
          <w:szCs w:val="28"/>
        </w:rPr>
      </w:pPr>
    </w:p>
    <w:p w14:paraId="15D5A80E">
      <w:pPr>
        <w:ind w:firstLine="556" w:firstLineChars="200"/>
        <w:rPr>
          <w:rFonts w:hint="eastAsia" w:ascii="仿宋" w:hAnsi="仿宋" w:eastAsia="仿宋" w:cs="仿宋"/>
          <w:sz w:val="28"/>
          <w:szCs w:val="28"/>
        </w:rPr>
      </w:pPr>
    </w:p>
    <w:p w14:paraId="1CCB00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消息</w:t>
      </w:r>
    </w:p>
    <w:p w14:paraId="15504B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p>
    <w:p w14:paraId="16452D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四年三次突破技术边界 全国首创抗拉高强铜箔</w:t>
      </w:r>
    </w:p>
    <w:p w14:paraId="4BA99B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鑫铂瑞成为全球锂电铜箔领域“黑马”</w:t>
      </w:r>
    </w:p>
    <w:p w14:paraId="7F7848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作者：黄露芝</w:t>
      </w:r>
    </w:p>
    <w:p w14:paraId="5E2334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sz w:val="24"/>
          <w:szCs w:val="24"/>
          <w:lang w:val="en-US" w:eastAsia="zh-CN"/>
        </w:rPr>
      </w:pPr>
      <w:r>
        <w:rPr>
          <w:rFonts w:hint="eastAsia" w:ascii="仿宋" w:hAnsi="仿宋" w:eastAsia="仿宋" w:cs="CESI仿宋-GB2312"/>
          <w:sz w:val="24"/>
          <w:szCs w:val="24"/>
          <w:lang w:val="en-US" w:eastAsia="zh-CN"/>
        </w:rPr>
        <w:t>编辑：郑睦华、王冬梅、蔡江曼</w:t>
      </w:r>
    </w:p>
    <w:p w14:paraId="70E45B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sz w:val="24"/>
          <w:szCs w:val="24"/>
          <w:lang w:val="en-US" w:eastAsia="zh-CN"/>
        </w:rPr>
      </w:pPr>
    </w:p>
    <w:p w14:paraId="051447BC">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5月20日，在鹰潭高新区江西鑫铂瑞科技有限公司无尘车间，一卷卷薄如蝉翼的铜箔正以每秒2米的速度从生箔机中“吐”出。据了解，这家国家级高新技术企业四年里三次突破铜箔产品技术边界，厚度从4.5微米到3.5微米，再到如今在全国首创抗拉强度890兆帕高强铜箔，以“技术破壁”实现赶超，成为全球锂电铜箔领域的“黑马”。</w:t>
      </w:r>
    </w:p>
    <w:p w14:paraId="01F5311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该公司研发部部长童凯文介绍，对于汽车锂电池来讲，铜箔抗拉强度越高，它的安全性越高。这款产品目前在国内处于领先水平，已经达到稳定量产的级别。</w:t>
      </w:r>
    </w:p>
    <w:p w14:paraId="7F1E34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技术突破的背后，是与时间的赛跑。预见新能源汽车将迅猛发展，该公司几年前就率先进行锂电高强铜箔的研发。不过，其涉及的技术原理和生产工艺是巨大的挑战。“添加剂是铜箔制造的一个核心技术。以前能从市面上现有的原材料中去找，现在要开发一些市面上没有的原材料，进行不断的复配试验。”该公司铜箔研究院院长付争兵如是说。</w:t>
      </w:r>
    </w:p>
    <w:p w14:paraId="015A15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任务艰巨，该公司组建了由5个博士团队领衔的专项组，同步在材料、性能等领域进行研发。在AI模拟平台助力下，20万组复配试验周期压缩了75%，三个月时间就完成了原材料的研发。但是将它们合成后，结果却不尽如人意。研发人员只好从零开始，重新测算材料、数据的精度，再进行成千上万次的合成、复配。功夫不负有心人，半年后，团队独创的“纳米催化—晶格定向生长”技术攻克纯度瓶颈，添加剂效能提升至行业罕见的98.6%。</w:t>
      </w:r>
    </w:p>
    <w:p w14:paraId="38CD73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lang w:eastAsia="zh-CN"/>
        </w:rPr>
      </w:pPr>
      <w:r>
        <w:rPr>
          <w:rFonts w:hint="eastAsia" w:ascii="仿宋" w:hAnsi="仿宋" w:eastAsia="仿宋" w:cs="仿宋"/>
          <w:sz w:val="28"/>
          <w:szCs w:val="28"/>
        </w:rPr>
        <w:t>　　在该公司，这样的技术突围是常态，企业年均有30项创新成果，其中一半为国际领先，这也让产品市场占有率不断扩大。四年来，该公司年产能从1万吨跃升至4万吨，营收规模增长300%，并打造了国内铜箔行业首家5G+工业互联网智慧工厂，生产效率提升10%、能耗降低5%。同时，通过AI质检、数字孪生等技术深度融合，生产全链条实现数字化升级。</w:t>
      </w:r>
      <w:bookmarkStart w:id="0" w:name="_GoBack"/>
      <w:bookmarkEnd w:id="0"/>
    </w:p>
    <w:sectPr>
      <w:pgSz w:w="11906" w:h="16838"/>
      <w:pgMar w:top="1440" w:right="1797" w:bottom="1440" w:left="1797" w:header="851" w:footer="992" w:gutter="0"/>
      <w:cols w:space="0" w:num="1"/>
      <w:rtlGutter w:val="0"/>
      <w:docGrid w:type="linesAndChars" w:linePitch="634"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39"/>
  <w:drawingGridVerticalSpacing w:val="317"/>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5MTJiNThlZjQ3NzQxNWJmMjFkMTgzYjE0ZjEwMTUifQ=="/>
  </w:docVars>
  <w:rsids>
    <w:rsidRoot w:val="00926BC2"/>
    <w:rsid w:val="00003DD9"/>
    <w:rsid w:val="000305E6"/>
    <w:rsid w:val="000C3809"/>
    <w:rsid w:val="000C68FB"/>
    <w:rsid w:val="000E643B"/>
    <w:rsid w:val="00123704"/>
    <w:rsid w:val="00133337"/>
    <w:rsid w:val="00133BCD"/>
    <w:rsid w:val="001421C1"/>
    <w:rsid w:val="001440A6"/>
    <w:rsid w:val="00144DF0"/>
    <w:rsid w:val="0019242E"/>
    <w:rsid w:val="001D0E22"/>
    <w:rsid w:val="002001CC"/>
    <w:rsid w:val="00223BBC"/>
    <w:rsid w:val="0024458D"/>
    <w:rsid w:val="002606C4"/>
    <w:rsid w:val="0026283A"/>
    <w:rsid w:val="002E0AD9"/>
    <w:rsid w:val="003371B0"/>
    <w:rsid w:val="0034035D"/>
    <w:rsid w:val="00346993"/>
    <w:rsid w:val="00365323"/>
    <w:rsid w:val="00367921"/>
    <w:rsid w:val="00395F8B"/>
    <w:rsid w:val="003A7D88"/>
    <w:rsid w:val="003B19AA"/>
    <w:rsid w:val="00403B28"/>
    <w:rsid w:val="00433816"/>
    <w:rsid w:val="00441C13"/>
    <w:rsid w:val="004C1ED1"/>
    <w:rsid w:val="004C3515"/>
    <w:rsid w:val="004F21DB"/>
    <w:rsid w:val="00517997"/>
    <w:rsid w:val="00534FCA"/>
    <w:rsid w:val="0054736E"/>
    <w:rsid w:val="0056711F"/>
    <w:rsid w:val="005937B0"/>
    <w:rsid w:val="005D1989"/>
    <w:rsid w:val="005D49D3"/>
    <w:rsid w:val="0064022F"/>
    <w:rsid w:val="0064261E"/>
    <w:rsid w:val="006933E8"/>
    <w:rsid w:val="006B0AE1"/>
    <w:rsid w:val="007050B1"/>
    <w:rsid w:val="007073E0"/>
    <w:rsid w:val="0074332E"/>
    <w:rsid w:val="00775798"/>
    <w:rsid w:val="0079161A"/>
    <w:rsid w:val="007C77C7"/>
    <w:rsid w:val="008935AB"/>
    <w:rsid w:val="008C03FE"/>
    <w:rsid w:val="00926BC2"/>
    <w:rsid w:val="00926E57"/>
    <w:rsid w:val="009367BD"/>
    <w:rsid w:val="009677C3"/>
    <w:rsid w:val="009A23C7"/>
    <w:rsid w:val="009D6149"/>
    <w:rsid w:val="009F3058"/>
    <w:rsid w:val="00A710FD"/>
    <w:rsid w:val="00AC1BA9"/>
    <w:rsid w:val="00AC5FC0"/>
    <w:rsid w:val="00AF5725"/>
    <w:rsid w:val="00B168B6"/>
    <w:rsid w:val="00B30C0D"/>
    <w:rsid w:val="00BA51D5"/>
    <w:rsid w:val="00BA609F"/>
    <w:rsid w:val="00BB3A4F"/>
    <w:rsid w:val="00BB6173"/>
    <w:rsid w:val="00BD5D7F"/>
    <w:rsid w:val="00BE5B19"/>
    <w:rsid w:val="00C05584"/>
    <w:rsid w:val="00C55055"/>
    <w:rsid w:val="00C738E3"/>
    <w:rsid w:val="00C86CF1"/>
    <w:rsid w:val="00D64361"/>
    <w:rsid w:val="00D67E4E"/>
    <w:rsid w:val="00D90026"/>
    <w:rsid w:val="00D978B7"/>
    <w:rsid w:val="00D97A32"/>
    <w:rsid w:val="00DA19CA"/>
    <w:rsid w:val="00DB7EB4"/>
    <w:rsid w:val="00E115C5"/>
    <w:rsid w:val="00E15627"/>
    <w:rsid w:val="00E2305B"/>
    <w:rsid w:val="00E807F5"/>
    <w:rsid w:val="00E82F0E"/>
    <w:rsid w:val="00EA235C"/>
    <w:rsid w:val="00EA4751"/>
    <w:rsid w:val="00EA5207"/>
    <w:rsid w:val="00EC1A77"/>
    <w:rsid w:val="00EE467F"/>
    <w:rsid w:val="00EF36AF"/>
    <w:rsid w:val="00F23A0A"/>
    <w:rsid w:val="00F52080"/>
    <w:rsid w:val="00F537D4"/>
    <w:rsid w:val="00F542F7"/>
    <w:rsid w:val="00F56869"/>
    <w:rsid w:val="00F82FC3"/>
    <w:rsid w:val="00F94E52"/>
    <w:rsid w:val="00FA0BC0"/>
    <w:rsid w:val="00FC2EEE"/>
    <w:rsid w:val="00FD48DE"/>
    <w:rsid w:val="00FD7C8E"/>
    <w:rsid w:val="00FF0F1A"/>
    <w:rsid w:val="00FF76E5"/>
    <w:rsid w:val="07572F51"/>
    <w:rsid w:val="095D7F5D"/>
    <w:rsid w:val="175C2E16"/>
    <w:rsid w:val="187A33A2"/>
    <w:rsid w:val="18C53C04"/>
    <w:rsid w:val="1A146B50"/>
    <w:rsid w:val="1EFD2BBE"/>
    <w:rsid w:val="1F060044"/>
    <w:rsid w:val="244A5795"/>
    <w:rsid w:val="24913F18"/>
    <w:rsid w:val="25F94252"/>
    <w:rsid w:val="31C0661C"/>
    <w:rsid w:val="3A195797"/>
    <w:rsid w:val="3FA847A5"/>
    <w:rsid w:val="3FFBD3CD"/>
    <w:rsid w:val="42A766FD"/>
    <w:rsid w:val="4AD72930"/>
    <w:rsid w:val="510F092A"/>
    <w:rsid w:val="523F3135"/>
    <w:rsid w:val="53FD1434"/>
    <w:rsid w:val="561D0FCE"/>
    <w:rsid w:val="57A11E55"/>
    <w:rsid w:val="58E35A39"/>
    <w:rsid w:val="59A14094"/>
    <w:rsid w:val="634D0E76"/>
    <w:rsid w:val="68616680"/>
    <w:rsid w:val="70676540"/>
    <w:rsid w:val="746C6723"/>
    <w:rsid w:val="77E9941D"/>
    <w:rsid w:val="7A1853BA"/>
    <w:rsid w:val="7ED02D36"/>
    <w:rsid w:val="7FFFFB7D"/>
    <w:rsid w:val="B42F9E00"/>
    <w:rsid w:val="FBEFF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1473</Words>
  <Characters>1520</Characters>
  <Lines>64</Lines>
  <Paragraphs>76</Paragraphs>
  <TotalTime>0</TotalTime>
  <ScaleCrop>false</ScaleCrop>
  <LinksUpToDate>false</LinksUpToDate>
  <CharactersWithSpaces>1638</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2024-01-22T23:11:00Z</dcterms:created>
  <dc:creator>听 林</dc:creator>
  <cp:lastModifiedBy>牧风</cp:lastModifiedBy>
  <cp:lastPrinted>2025-01-17T00:31:00Z</cp:lastPrinted>
  <dcterms:modified xsi:type="dcterms:W3CDTF">2026-01-17T22:52:52Z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eyJoZGlkIjoiMGQ1NzBhNzEzMzI3N2ZjOWU0YmEwZDk5NmZkMTkyYTMiLCJ1c2VySWQiOiIzMDc2NzE1OTcifQ==</vt:lpwstr>
  </property>
  <property fmtid="{D5CDD505-2E9C-101B-9397-08002B2CF9AE}" pid="3" name="KSOProductBuildVer">
    <vt:lpwstr>2052-12.8.2.1115</vt:lpwstr>
  </property>
  <property fmtid="{D5CDD505-2E9C-101B-9397-08002B2CF9AE}" pid="4" name="ICV">
    <vt:lpwstr>945200EBAAF74A42B0266A498A2D1F9D_13</vt:lpwstr>
  </property>
</Properties>
</file>