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BD706">
      <w:pPr>
        <w:spacing w:afterLines="50" w:line="600" w:lineRule="exact"/>
        <w:jc w:val="center"/>
        <w:rPr>
          <w:rFonts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6"/>
        <w:tblW w:w="9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82"/>
        <w:gridCol w:w="455"/>
        <w:gridCol w:w="251"/>
        <w:gridCol w:w="426"/>
        <w:gridCol w:w="246"/>
        <w:gridCol w:w="886"/>
        <w:gridCol w:w="868"/>
        <w:gridCol w:w="549"/>
        <w:gridCol w:w="306"/>
        <w:gridCol w:w="686"/>
        <w:gridCol w:w="803"/>
        <w:gridCol w:w="473"/>
        <w:gridCol w:w="144"/>
        <w:gridCol w:w="711"/>
        <w:gridCol w:w="281"/>
        <w:gridCol w:w="843"/>
        <w:gridCol w:w="714"/>
      </w:tblGrid>
      <w:tr w14:paraId="4D66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exact"/>
          <w:jc w:val="center"/>
        </w:trPr>
        <w:tc>
          <w:tcPr>
            <w:tcW w:w="1331" w:type="dxa"/>
            <w:gridSpan w:val="3"/>
            <w:vAlign w:val="center"/>
          </w:tcPr>
          <w:p w14:paraId="2406FE2B">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32" w:type="dxa"/>
            <w:gridSpan w:val="7"/>
            <w:vAlign w:val="center"/>
          </w:tcPr>
          <w:p w14:paraId="4B7394E2">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生态“入股”让沙湾村民腰包鼓起来</w:t>
            </w:r>
          </w:p>
        </w:tc>
        <w:tc>
          <w:tcPr>
            <w:tcW w:w="1962" w:type="dxa"/>
            <w:gridSpan w:val="3"/>
            <w:vAlign w:val="center"/>
          </w:tcPr>
          <w:p w14:paraId="189E1312">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4FA1D835">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693" w:type="dxa"/>
            <w:gridSpan w:val="5"/>
            <w:vAlign w:val="center"/>
          </w:tcPr>
          <w:p w14:paraId="58CAA025">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消息（报刊）</w:t>
            </w:r>
          </w:p>
        </w:tc>
      </w:tr>
      <w:tr w14:paraId="402C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331" w:type="dxa"/>
            <w:gridSpan w:val="3"/>
            <w:vAlign w:val="center"/>
          </w:tcPr>
          <w:p w14:paraId="602C42B7">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532" w:type="dxa"/>
            <w:gridSpan w:val="7"/>
            <w:vAlign w:val="center"/>
          </w:tcPr>
          <w:p w14:paraId="1411EB14">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908字</w:t>
            </w:r>
          </w:p>
        </w:tc>
        <w:tc>
          <w:tcPr>
            <w:tcW w:w="1489" w:type="dxa"/>
            <w:gridSpan w:val="2"/>
            <w:vAlign w:val="center"/>
          </w:tcPr>
          <w:p w14:paraId="4EEEFA94">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166" w:type="dxa"/>
            <w:gridSpan w:val="6"/>
            <w:vAlign w:val="center"/>
          </w:tcPr>
          <w:p w14:paraId="668EBA40">
            <w:pPr>
              <w:spacing w:line="300" w:lineRule="exact"/>
              <w:rPr>
                <w:rFonts w:hint="eastAsia" w:ascii="仿宋" w:hAnsi="仿宋" w:eastAsia="仿宋" w:cs="仿宋"/>
                <w:color w:val="000000"/>
                <w:sz w:val="21"/>
                <w:szCs w:val="21"/>
                <w:lang w:eastAsia="zh-CN"/>
              </w:rPr>
            </w:pPr>
            <w:bookmarkStart w:id="0" w:name="_GoBack"/>
            <w:bookmarkEnd w:id="0"/>
          </w:p>
        </w:tc>
      </w:tr>
      <w:tr w14:paraId="4964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331" w:type="dxa"/>
            <w:gridSpan w:val="3"/>
            <w:vAlign w:val="center"/>
          </w:tcPr>
          <w:p w14:paraId="438727AA">
            <w:pPr>
              <w:spacing w:line="300" w:lineRule="exact"/>
              <w:jc w:val="center"/>
              <w:rPr>
                <w:rFonts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7DCA2B25">
            <w:pPr>
              <w:spacing w:line="300" w:lineRule="exact"/>
              <w:jc w:val="center"/>
              <w:rPr>
                <w:rFonts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532" w:type="dxa"/>
            <w:gridSpan w:val="7"/>
            <w:vAlign w:val="center"/>
          </w:tcPr>
          <w:p w14:paraId="0550BAB5">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王绪华</w:t>
            </w:r>
          </w:p>
        </w:tc>
        <w:tc>
          <w:tcPr>
            <w:tcW w:w="1489" w:type="dxa"/>
            <w:gridSpan w:val="2"/>
            <w:vAlign w:val="center"/>
          </w:tcPr>
          <w:p w14:paraId="75769915">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166" w:type="dxa"/>
            <w:gridSpan w:val="6"/>
            <w:vAlign w:val="center"/>
          </w:tcPr>
          <w:p w14:paraId="3ABDED7D">
            <w:pPr>
              <w:spacing w:line="300" w:lineRule="exact"/>
              <w:rPr>
                <w:rFonts w:hint="eastAsia" w:ascii="仿宋" w:hAnsi="仿宋" w:eastAsia="仿宋" w:cs="仿宋"/>
                <w:color w:val="000000"/>
                <w:w w:val="95"/>
                <w:sz w:val="21"/>
                <w:szCs w:val="21"/>
              </w:rPr>
            </w:pPr>
            <w:r>
              <w:rPr>
                <w:rFonts w:hint="eastAsia" w:ascii="仿宋" w:hAnsi="仿宋" w:eastAsia="仿宋" w:cs="仿宋"/>
                <w:color w:val="000000"/>
                <w:sz w:val="21"/>
                <w:szCs w:val="21"/>
              </w:rPr>
              <w:t>夏东华、冯晓丹</w:t>
            </w:r>
          </w:p>
        </w:tc>
      </w:tr>
      <w:tr w14:paraId="352C9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331" w:type="dxa"/>
            <w:gridSpan w:val="3"/>
            <w:vAlign w:val="center"/>
          </w:tcPr>
          <w:p w14:paraId="758B7D22">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5"/>
            <w:vAlign w:val="center"/>
          </w:tcPr>
          <w:p w14:paraId="423CE1A4">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鹰潭市融媒体中心</w:t>
            </w:r>
          </w:p>
        </w:tc>
        <w:tc>
          <w:tcPr>
            <w:tcW w:w="2344" w:type="dxa"/>
            <w:gridSpan w:val="4"/>
            <w:vAlign w:val="center"/>
          </w:tcPr>
          <w:p w14:paraId="664CC053">
            <w:pPr>
              <w:spacing w:line="300" w:lineRule="exact"/>
              <w:rPr>
                <w:rFonts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发布端/账号/媒体名称</w:t>
            </w:r>
          </w:p>
        </w:tc>
        <w:tc>
          <w:tcPr>
            <w:tcW w:w="3166" w:type="dxa"/>
            <w:gridSpan w:val="6"/>
            <w:vAlign w:val="center"/>
          </w:tcPr>
          <w:p w14:paraId="185E0C68">
            <w:pPr>
              <w:spacing w:line="300" w:lineRule="exact"/>
              <w:jc w:val="left"/>
              <w:rPr>
                <w:rFonts w:ascii="仿宋_GB2312" w:hAnsi="仿宋" w:eastAsia="仿宋_GB2312" w:cs="Times New Roman"/>
                <w:color w:val="000000"/>
                <w:sz w:val="18"/>
                <w:szCs w:val="18"/>
                <w:highlight w:val="green"/>
              </w:rPr>
            </w:pPr>
            <w:r>
              <w:rPr>
                <w:rFonts w:hint="eastAsia" w:ascii="仿宋" w:hAnsi="仿宋" w:eastAsia="仿宋" w:cs="Times New Roman"/>
                <w:color w:val="000000"/>
                <w:sz w:val="21"/>
                <w:szCs w:val="21"/>
              </w:rPr>
              <w:t>鹰潭日报</w:t>
            </w:r>
          </w:p>
        </w:tc>
      </w:tr>
      <w:tr w14:paraId="48EB5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jc w:val="center"/>
        </w:trPr>
        <w:tc>
          <w:tcPr>
            <w:tcW w:w="2254" w:type="dxa"/>
            <w:gridSpan w:val="6"/>
            <w:vAlign w:val="center"/>
          </w:tcPr>
          <w:p w14:paraId="4D96F530">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4098" w:type="dxa"/>
            <w:gridSpan w:val="6"/>
            <w:vAlign w:val="center"/>
          </w:tcPr>
          <w:p w14:paraId="1B88BF5D">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一版</w:t>
            </w:r>
          </w:p>
        </w:tc>
        <w:tc>
          <w:tcPr>
            <w:tcW w:w="1328" w:type="dxa"/>
            <w:gridSpan w:val="3"/>
            <w:vAlign w:val="center"/>
          </w:tcPr>
          <w:p w14:paraId="61742D42">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1838" w:type="dxa"/>
            <w:gridSpan w:val="3"/>
            <w:vAlign w:val="center"/>
          </w:tcPr>
          <w:p w14:paraId="0672F3AE">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2025年12月30日</w:t>
            </w:r>
          </w:p>
        </w:tc>
      </w:tr>
      <w:tr w14:paraId="2E3B7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exact"/>
          <w:jc w:val="center"/>
        </w:trPr>
        <w:tc>
          <w:tcPr>
            <w:tcW w:w="1331" w:type="dxa"/>
            <w:gridSpan w:val="3"/>
            <w:vAlign w:val="center"/>
          </w:tcPr>
          <w:p w14:paraId="197B1EFD">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5021" w:type="dxa"/>
            <w:gridSpan w:val="9"/>
            <w:vAlign w:val="center"/>
          </w:tcPr>
          <w:p w14:paraId="270262D6">
            <w:pPr>
              <w:spacing w:line="300" w:lineRule="exact"/>
              <w:rPr>
                <w:rFonts w:hint="eastAsia" w:ascii="仿宋" w:hAnsi="仿宋" w:eastAsia="仿宋" w:cs="仿宋"/>
                <w:color w:val="000000"/>
                <w:sz w:val="21"/>
                <w:szCs w:val="21"/>
              </w:rPr>
            </w:pPr>
          </w:p>
        </w:tc>
        <w:tc>
          <w:tcPr>
            <w:tcW w:w="2452" w:type="dxa"/>
            <w:gridSpan w:val="5"/>
            <w:vAlign w:val="center"/>
          </w:tcPr>
          <w:p w14:paraId="229729FA">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70BCB46F">
            <w:pPr>
              <w:spacing w:line="300" w:lineRule="exact"/>
              <w:rPr>
                <w:rFonts w:ascii="仿宋" w:hAnsi="仿宋" w:eastAsia="仿宋" w:cs="Times New Roman"/>
                <w:color w:val="000000"/>
                <w:szCs w:val="21"/>
              </w:rPr>
            </w:pPr>
            <w:r>
              <w:rPr>
                <w:rFonts w:hint="eastAsia" w:ascii="仿宋" w:hAnsi="仿宋" w:eastAsia="仿宋" w:cs="Times New Roman"/>
                <w:color w:val="000000"/>
                <w:sz w:val="21"/>
                <w:szCs w:val="21"/>
              </w:rPr>
              <w:t>否</w:t>
            </w:r>
          </w:p>
        </w:tc>
      </w:tr>
      <w:tr w14:paraId="56D60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jc w:val="center"/>
        </w:trPr>
        <w:tc>
          <w:tcPr>
            <w:tcW w:w="876" w:type="dxa"/>
            <w:gridSpan w:val="2"/>
            <w:vAlign w:val="center"/>
          </w:tcPr>
          <w:p w14:paraId="2EFC8ED9">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62D6D5D5">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4743A0F4">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6C12BD77">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10B50E6D">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5968532C">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16"/>
            <w:vAlign w:val="center"/>
          </w:tcPr>
          <w:p w14:paraId="15BDDADD">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仿宋" w:hAnsi="仿宋" w:eastAsia="仿宋" w:cs="仿宋"/>
                <w:color w:val="000000"/>
                <w:w w:val="95"/>
                <w:sz w:val="21"/>
                <w:szCs w:val="21"/>
                <w:lang w:val="en-US" w:eastAsia="zh-CN"/>
              </w:rPr>
            </w:pPr>
            <w:r>
              <w:rPr>
                <w:rFonts w:hint="eastAsia" w:ascii="仿宋" w:hAnsi="仿宋" w:eastAsia="仿宋" w:cs="仿宋"/>
                <w:color w:val="000000"/>
                <w:w w:val="95"/>
                <w:sz w:val="21"/>
                <w:szCs w:val="21"/>
                <w:lang w:val="en-US" w:eastAsia="zh-CN"/>
              </w:rPr>
              <w:t xml:space="preserve">   作品讲述了龙虎山景区上清镇沙湾村在中华秋沙鸭自然保护区内守护生态、转型发展的生动故事，通过十九年坚持封山育林、保护濒危物种中华秋沙鸭的历程，展现村庄如何将生态约束转化为发展机遇，积极探索“绿水青山就是金山银山”的实践路径。文章以村民分红、产业增收为切入点，鲜活呈现了土蜂养殖、有机种植、共享农业、生态旅游等绿色产业如何带动村民致富、壮大集体经济，最终实现生态保护与民生改善的双赢。作品不仅记录了一个村庄的绿色蝶变，更折射出中国乡村在生态文明建设中的智慧与活力。</w:t>
            </w:r>
          </w:p>
        </w:tc>
      </w:tr>
      <w:tr w14:paraId="01F27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exact"/>
          <w:jc w:val="center"/>
        </w:trPr>
        <w:tc>
          <w:tcPr>
            <w:tcW w:w="876" w:type="dxa"/>
            <w:gridSpan w:val="2"/>
            <w:vAlign w:val="center"/>
          </w:tcPr>
          <w:p w14:paraId="49D01A1D">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0E610128">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2DF49031">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741E2EB8">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16"/>
            <w:vAlign w:val="center"/>
          </w:tcPr>
          <w:p w14:paraId="2043FB4C">
            <w:pPr>
              <w:keepNext w:val="0"/>
              <w:keepLines w:val="0"/>
              <w:pageBreakBefore w:val="0"/>
              <w:widowControl w:val="0"/>
              <w:kinsoku/>
              <w:wordWrap/>
              <w:overflowPunct/>
              <w:topLinePunct w:val="0"/>
              <w:autoSpaceDE/>
              <w:autoSpaceDN/>
              <w:bidi w:val="0"/>
              <w:adjustRightInd/>
              <w:snapToGrid/>
              <w:spacing w:line="300" w:lineRule="exact"/>
              <w:ind w:firstLine="394" w:firstLineChars="200"/>
              <w:textAlignment w:val="auto"/>
              <w:rPr>
                <w:rFonts w:hint="eastAsia" w:ascii="仿宋" w:hAnsi="仿宋" w:eastAsia="仿宋" w:cs="仿宋"/>
                <w:color w:val="000000"/>
                <w:sz w:val="21"/>
                <w:szCs w:val="21"/>
              </w:rPr>
            </w:pPr>
            <w:r>
              <w:rPr>
                <w:rFonts w:hint="eastAsia" w:ascii="仿宋" w:hAnsi="仿宋" w:eastAsia="仿宋" w:cs="仿宋"/>
                <w:color w:val="000000"/>
                <w:w w:val="95"/>
                <w:sz w:val="21"/>
                <w:szCs w:val="21"/>
              </w:rPr>
              <w:t>沙湾村的成功实践为生态保护区内的乡村发展提供了可复制的“沙湾模式”,“合作社+农户”等具体举措，作为本地乡村振兴的参考范例，激发了保护区周边村庄转型发展的信心与行动;许多读者通过社交媒体留言表示，对“绿水青山就是金山银山”有了更具体的认知，增强了参与生态保护、支持绿色产品的自觉性;报道有效提升了“中华秋沙鸭自然保护区”和沙湾村的生态品牌知名度,龙虎山景区及沙湾村的旅游关注度显著上升，直接带动了村民收入持续增加。全网阅读量破十万，报道实现了主流媒体产品“破圈”传播，收获好评。该报道被学习强国转载刊发。</w:t>
            </w:r>
          </w:p>
        </w:tc>
      </w:tr>
      <w:tr w14:paraId="4E6B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jc w:val="center"/>
        </w:trPr>
        <w:tc>
          <w:tcPr>
            <w:tcW w:w="594" w:type="dxa"/>
            <w:vMerge w:val="restart"/>
            <w:tcBorders>
              <w:top w:val="single" w:color="auto" w:sz="4" w:space="0"/>
              <w:left w:val="single" w:color="auto" w:sz="4" w:space="0"/>
              <w:bottom w:val="single" w:color="auto" w:sz="4" w:space="0"/>
              <w:right w:val="single" w:color="auto" w:sz="4" w:space="0"/>
            </w:tcBorders>
            <w:vAlign w:val="center"/>
          </w:tcPr>
          <w:p w14:paraId="76A36350">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5AEB1E26">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5459E81D">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1329C2B6">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6E9D6779">
            <w:pPr>
              <w:spacing w:line="300" w:lineRule="exact"/>
              <w:jc w:val="center"/>
              <w:rPr>
                <w:rFonts w:hint="eastAsia"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592872C6">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7510" w:type="dxa"/>
            <w:gridSpan w:val="13"/>
            <w:tcBorders>
              <w:top w:val="single" w:color="auto" w:sz="4" w:space="0"/>
              <w:left w:val="single" w:color="auto" w:sz="4" w:space="0"/>
              <w:bottom w:val="single" w:color="auto" w:sz="4" w:space="0"/>
              <w:right w:val="single" w:color="auto" w:sz="4" w:space="0"/>
            </w:tcBorders>
            <w:vAlign w:val="center"/>
          </w:tcPr>
          <w:p w14:paraId="0E8D79EF">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https://app.ytnews.cn/webDetails/news?id=12999460&amp;tenantId=301&amp;uid=683f9d73a1623300191f67e9</w:t>
            </w:r>
          </w:p>
        </w:tc>
      </w:tr>
      <w:tr w14:paraId="1D1B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exac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14:paraId="036AB419">
            <w:pPr>
              <w:widowControl/>
              <w:spacing w:line="300" w:lineRule="exact"/>
              <w:jc w:val="left"/>
              <w:rPr>
                <w:rFonts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3AB17733">
            <w:pPr>
              <w:widowControl/>
              <w:spacing w:line="300" w:lineRule="exact"/>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5B202B2F">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7510" w:type="dxa"/>
            <w:gridSpan w:val="13"/>
            <w:tcBorders>
              <w:top w:val="single" w:color="auto" w:sz="4" w:space="0"/>
              <w:left w:val="single" w:color="auto" w:sz="4" w:space="0"/>
              <w:bottom w:val="single" w:color="auto" w:sz="4" w:space="0"/>
              <w:right w:val="single" w:color="auto" w:sz="4" w:space="0"/>
            </w:tcBorders>
            <w:vAlign w:val="center"/>
          </w:tcPr>
          <w:p w14:paraId="0CF0864F">
            <w:pPr>
              <w:spacing w:line="300" w:lineRule="exact"/>
              <w:rPr>
                <w:rFonts w:hint="eastAsia" w:ascii="仿宋" w:hAnsi="仿宋" w:eastAsia="仿宋" w:cs="仿宋"/>
                <w:color w:val="000000"/>
                <w:sz w:val="21"/>
                <w:szCs w:val="21"/>
              </w:rPr>
            </w:pPr>
          </w:p>
        </w:tc>
      </w:tr>
      <w:tr w14:paraId="38C9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14:paraId="41C5EBB4">
            <w:pPr>
              <w:widowControl/>
              <w:spacing w:line="300" w:lineRule="exact"/>
              <w:jc w:val="left"/>
              <w:rPr>
                <w:rFonts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20E61805">
            <w:pPr>
              <w:widowControl/>
              <w:spacing w:line="300" w:lineRule="exact"/>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175E29C5">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7510" w:type="dxa"/>
            <w:gridSpan w:val="13"/>
            <w:tcBorders>
              <w:top w:val="single" w:color="auto" w:sz="4" w:space="0"/>
              <w:left w:val="single" w:color="auto" w:sz="4" w:space="0"/>
              <w:bottom w:val="single" w:color="auto" w:sz="4" w:space="0"/>
              <w:right w:val="single" w:color="auto" w:sz="4" w:space="0"/>
            </w:tcBorders>
            <w:vAlign w:val="center"/>
          </w:tcPr>
          <w:p w14:paraId="0E3F04B4">
            <w:pPr>
              <w:spacing w:line="300" w:lineRule="exact"/>
              <w:rPr>
                <w:rFonts w:hint="eastAsia" w:ascii="仿宋" w:hAnsi="仿宋" w:eastAsia="仿宋" w:cs="仿宋"/>
                <w:color w:val="000000"/>
                <w:sz w:val="21"/>
                <w:szCs w:val="21"/>
              </w:rPr>
            </w:pPr>
          </w:p>
        </w:tc>
      </w:tr>
      <w:tr w14:paraId="521B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exac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14:paraId="2D61EB37">
            <w:pPr>
              <w:widowControl/>
              <w:spacing w:line="300" w:lineRule="exact"/>
              <w:jc w:val="left"/>
              <w:rPr>
                <w:rFonts w:ascii="华文中宋" w:hAnsi="华文中宋" w:eastAsia="华文中宋"/>
                <w:color w:val="000000"/>
                <w:sz w:val="28"/>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4F8654EB">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阅读量（浏览量、点击量）</w:t>
            </w: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3A27E27B">
            <w:pPr>
              <w:spacing w:line="300" w:lineRule="exact"/>
              <w:rPr>
                <w:rFonts w:hint="eastAsia" w:ascii="仿宋" w:hAnsi="仿宋" w:eastAsia="仿宋" w:cs="仿宋"/>
                <w:color w:val="000000"/>
                <w:sz w:val="21"/>
                <w:szCs w:val="21"/>
              </w:rPr>
            </w:pPr>
            <w:r>
              <w:rPr>
                <w:rFonts w:hint="eastAsia" w:ascii="仿宋" w:hAnsi="仿宋" w:eastAsia="仿宋" w:cs="仿宋"/>
                <w:color w:val="000000"/>
                <w:spacing w:val="-2"/>
                <w:sz w:val="21"/>
                <w:szCs w:val="21"/>
              </w:rPr>
              <w:t>10万+</w:t>
            </w: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77AD198F">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转载量</w:t>
            </w:r>
          </w:p>
        </w:tc>
        <w:tc>
          <w:tcPr>
            <w:tcW w:w="1420" w:type="dxa"/>
            <w:gridSpan w:val="3"/>
            <w:tcBorders>
              <w:top w:val="single" w:color="auto" w:sz="4" w:space="0"/>
              <w:left w:val="single" w:color="auto" w:sz="4" w:space="0"/>
              <w:bottom w:val="single" w:color="auto" w:sz="4" w:space="0"/>
              <w:right w:val="single" w:color="auto" w:sz="4" w:space="0"/>
            </w:tcBorders>
            <w:vAlign w:val="center"/>
          </w:tcPr>
          <w:p w14:paraId="061FF34F">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296</w:t>
            </w: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5F40D6E1">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7C4D1A94">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301</w:t>
            </w:r>
          </w:p>
        </w:tc>
      </w:tr>
      <w:tr w14:paraId="63970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8" w:hRule="exact"/>
          <w:jc w:val="center"/>
        </w:trPr>
        <w:tc>
          <w:tcPr>
            <w:tcW w:w="1331" w:type="dxa"/>
            <w:gridSpan w:val="3"/>
            <w:tcBorders>
              <w:bottom w:val="single" w:color="auto" w:sz="4" w:space="0"/>
            </w:tcBorders>
            <w:vAlign w:val="center"/>
          </w:tcPr>
          <w:p w14:paraId="3EAA8E84">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15"/>
            <w:tcBorders>
              <w:bottom w:val="single" w:color="auto" w:sz="4" w:space="0"/>
            </w:tcBorders>
            <w:vAlign w:val="center"/>
          </w:tcPr>
          <w:p w14:paraId="14B9840C">
            <w:pPr>
              <w:keepNext w:val="0"/>
              <w:keepLines w:val="0"/>
              <w:pageBreakBefore w:val="0"/>
              <w:widowControl w:val="0"/>
              <w:kinsoku/>
              <w:wordWrap/>
              <w:overflowPunct/>
              <w:topLinePunct w:val="0"/>
              <w:autoSpaceDE/>
              <w:autoSpaceDN/>
              <w:bidi w:val="0"/>
              <w:adjustRightInd/>
              <w:snapToGrid/>
              <w:spacing w:line="300" w:lineRule="exact"/>
              <w:ind w:firstLine="408" w:firstLineChars="200"/>
              <w:textAlignment w:val="auto"/>
              <w:rPr>
                <w:rFonts w:hint="eastAsia" w:ascii="仿宋" w:hAnsi="仿宋" w:eastAsia="仿宋" w:cs="Times New Roman"/>
                <w:color w:val="000000"/>
                <w:spacing w:val="-2"/>
                <w:sz w:val="21"/>
                <w:szCs w:val="21"/>
              </w:rPr>
            </w:pPr>
            <w:r>
              <w:rPr>
                <w:rFonts w:hint="eastAsia" w:ascii="仿宋" w:hAnsi="仿宋" w:eastAsia="仿宋" w:cs="Times New Roman"/>
                <w:color w:val="000000"/>
                <w:spacing w:val="-2"/>
                <w:sz w:val="21"/>
                <w:szCs w:val="21"/>
              </w:rPr>
              <w:t>该作品以扎实的采访、简洁的笔触和生动的细节，深刻诠释了“绿水青山就是金山银山”理念在乡村的具体实践。报道以小见大，从</w:t>
            </w:r>
            <w:r>
              <w:rPr>
                <w:rFonts w:hint="eastAsia" w:ascii="仿宋" w:hAnsi="仿宋" w:eastAsia="仿宋" w:cs="Times New Roman"/>
                <w:color w:val="000000"/>
                <w:spacing w:val="-2"/>
                <w:sz w:val="21"/>
                <w:szCs w:val="21"/>
                <w:lang w:eastAsia="zh-CN"/>
              </w:rPr>
              <w:t>对</w:t>
            </w:r>
            <w:r>
              <w:rPr>
                <w:rFonts w:hint="eastAsia" w:ascii="仿宋" w:hAnsi="仿宋" w:eastAsia="仿宋" w:cs="Times New Roman"/>
                <w:color w:val="000000"/>
                <w:spacing w:val="-2"/>
                <w:sz w:val="21"/>
                <w:szCs w:val="21"/>
              </w:rPr>
              <w:t>中华秋沙鸭的保护切入，完整呈现了生态优势如何转化为产业优势、发展优势的清晰路径，体现了人与自然的和谐共生之美。</w:t>
            </w:r>
          </w:p>
          <w:p w14:paraId="3A1C5E5C">
            <w:pPr>
              <w:keepNext w:val="0"/>
              <w:keepLines w:val="0"/>
              <w:pageBreakBefore w:val="0"/>
              <w:widowControl w:val="0"/>
              <w:kinsoku/>
              <w:wordWrap/>
              <w:overflowPunct/>
              <w:topLinePunct w:val="0"/>
              <w:autoSpaceDE/>
              <w:autoSpaceDN/>
              <w:bidi w:val="0"/>
              <w:adjustRightInd/>
              <w:snapToGrid/>
              <w:spacing w:line="300" w:lineRule="exact"/>
              <w:ind w:firstLine="408" w:firstLineChars="200"/>
              <w:textAlignment w:val="auto"/>
              <w:rPr>
                <w:rFonts w:hint="eastAsia" w:ascii="仿宋" w:hAnsi="仿宋" w:eastAsia="仿宋" w:cs="Times New Roman"/>
                <w:color w:val="000000"/>
                <w:spacing w:val="-2"/>
                <w:sz w:val="21"/>
                <w:szCs w:val="21"/>
              </w:rPr>
            </w:pPr>
            <w:r>
              <w:rPr>
                <w:rFonts w:hint="eastAsia" w:ascii="仿宋" w:hAnsi="仿宋" w:eastAsia="仿宋" w:cs="Times New Roman"/>
                <w:color w:val="000000"/>
                <w:spacing w:val="-2"/>
                <w:sz w:val="21"/>
                <w:szCs w:val="21"/>
              </w:rPr>
              <w:t>作品主题重大、立意深远，不仅具有鲜明的新闻时效性和现实说服力，更通过鲜活的故事和具体的数据，展现了生态价值转换的有效途径。报道刊发后引发广泛关注，取得了良好的社会传播效果，是一篇兼具时代性、故事性与思想性的优秀新闻作品。</w:t>
            </w:r>
          </w:p>
          <w:p w14:paraId="0CF41E09">
            <w:pPr>
              <w:keepNext w:val="0"/>
              <w:keepLines w:val="0"/>
              <w:pageBreakBefore w:val="0"/>
              <w:widowControl w:val="0"/>
              <w:kinsoku/>
              <w:wordWrap/>
              <w:overflowPunct/>
              <w:topLinePunct w:val="0"/>
              <w:autoSpaceDE/>
              <w:autoSpaceDN/>
              <w:bidi w:val="0"/>
              <w:adjustRightInd/>
              <w:snapToGrid/>
              <w:spacing w:line="300" w:lineRule="exact"/>
              <w:ind w:firstLine="408" w:firstLineChars="200"/>
              <w:textAlignment w:val="auto"/>
              <w:rPr>
                <w:rFonts w:hint="eastAsia" w:ascii="仿宋" w:hAnsi="仿宋" w:eastAsia="仿宋" w:cs="Times New Roman"/>
                <w:color w:val="000000"/>
                <w:spacing w:val="-2"/>
                <w:sz w:val="21"/>
                <w:szCs w:val="21"/>
              </w:rPr>
            </w:pPr>
          </w:p>
          <w:p w14:paraId="25304B9B">
            <w:pPr>
              <w:keepNext w:val="0"/>
              <w:keepLines w:val="0"/>
              <w:pageBreakBefore w:val="0"/>
              <w:widowControl w:val="0"/>
              <w:kinsoku/>
              <w:wordWrap/>
              <w:overflowPunct/>
              <w:topLinePunct w:val="0"/>
              <w:autoSpaceDE/>
              <w:autoSpaceDN/>
              <w:bidi w:val="0"/>
              <w:adjustRightInd/>
              <w:snapToGrid/>
              <w:spacing w:line="300" w:lineRule="exact"/>
              <w:ind w:firstLine="1632" w:firstLineChars="800"/>
              <w:textAlignment w:val="auto"/>
              <w:rPr>
                <w:rFonts w:ascii="仿宋" w:hAnsi="仿宋" w:eastAsia="仿宋" w:cs="Times New Roman"/>
                <w:color w:val="000000"/>
                <w:sz w:val="21"/>
                <w:szCs w:val="21"/>
              </w:rPr>
            </w:pPr>
            <w:r>
              <w:rPr>
                <w:rFonts w:hint="eastAsia" w:ascii="仿宋" w:hAnsi="仿宋" w:eastAsia="仿宋" w:cs="Times New Roman"/>
                <w:color w:val="000000"/>
                <w:spacing w:val="-2"/>
                <w:sz w:val="21"/>
                <w:szCs w:val="21"/>
              </w:rPr>
              <w:t>单位主要负责人签名：</w:t>
            </w:r>
            <w:r>
              <w:rPr>
                <w:rFonts w:hint="eastAsia" w:ascii="仿宋" w:hAnsi="仿宋" w:eastAsia="仿宋" w:cs="Times New Roman"/>
                <w:color w:val="000000"/>
                <w:spacing w:val="-2"/>
                <w:sz w:val="21"/>
                <w:szCs w:val="21"/>
                <w:lang w:val="en-US" w:eastAsia="zh-CN"/>
              </w:rPr>
              <w:t xml:space="preserve">                      </w:t>
            </w:r>
            <w:r>
              <w:rPr>
                <w:rFonts w:hint="eastAsia" w:ascii="仿宋" w:hAnsi="仿宋" w:eastAsia="仿宋" w:cs="Times New Roman"/>
                <w:color w:val="000000"/>
                <w:sz w:val="21"/>
                <w:szCs w:val="21"/>
              </w:rPr>
              <w:t>（盖单位公章）</w:t>
            </w:r>
          </w:p>
          <w:p w14:paraId="0B095CC6">
            <w:pPr>
              <w:keepNext w:val="0"/>
              <w:keepLines w:val="0"/>
              <w:pageBreakBefore w:val="0"/>
              <w:widowControl w:val="0"/>
              <w:kinsoku/>
              <w:wordWrap/>
              <w:overflowPunct/>
              <w:topLinePunct w:val="0"/>
              <w:autoSpaceDE/>
              <w:autoSpaceDN/>
              <w:bidi w:val="0"/>
              <w:adjustRightInd/>
              <w:snapToGrid/>
              <w:spacing w:line="300" w:lineRule="exact"/>
              <w:ind w:firstLine="5720" w:firstLineChars="2750"/>
              <w:textAlignment w:val="auto"/>
              <w:rPr>
                <w:rFonts w:ascii="仿宋" w:hAnsi="仿宋" w:eastAsia="仿宋" w:cs="Times New Roman"/>
                <w:color w:val="000000"/>
                <w:szCs w:val="21"/>
              </w:rPr>
            </w:pPr>
            <w:r>
              <w:rPr>
                <w:rFonts w:hint="eastAsia" w:ascii="仿宋" w:hAnsi="仿宋" w:eastAsia="仿宋" w:cs="Times New Roman"/>
                <w:color w:val="000000"/>
                <w:sz w:val="21"/>
                <w:szCs w:val="21"/>
              </w:rPr>
              <w:t>2026</w:t>
            </w:r>
            <w:r>
              <w:rPr>
                <w:rFonts w:ascii="仿宋" w:hAnsi="仿宋" w:eastAsia="仿宋" w:cs="Times New Roman"/>
                <w:color w:val="000000"/>
                <w:sz w:val="21"/>
                <w:szCs w:val="21"/>
              </w:rPr>
              <w:t xml:space="preserve">年 </w:t>
            </w:r>
            <w:r>
              <w:rPr>
                <w:rFonts w:hint="eastAsia" w:ascii="仿宋" w:hAnsi="仿宋" w:eastAsia="仿宋" w:cs="Times New Roman"/>
                <w:color w:val="000000"/>
                <w:sz w:val="21"/>
                <w:szCs w:val="21"/>
              </w:rPr>
              <w:t>1</w:t>
            </w:r>
            <w:r>
              <w:rPr>
                <w:rFonts w:ascii="仿宋" w:hAnsi="仿宋" w:eastAsia="仿宋" w:cs="Times New Roman"/>
                <w:color w:val="000000"/>
                <w:sz w:val="21"/>
                <w:szCs w:val="21"/>
              </w:rPr>
              <w:t xml:space="preserve"> </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5</w:t>
            </w:r>
            <w:r>
              <w:rPr>
                <w:rFonts w:hint="eastAsia" w:ascii="仿宋" w:hAnsi="仿宋" w:eastAsia="仿宋" w:cs="Times New Roman"/>
                <w:color w:val="000000"/>
                <w:sz w:val="21"/>
                <w:szCs w:val="21"/>
              </w:rPr>
              <w:t>日</w:t>
            </w:r>
          </w:p>
        </w:tc>
      </w:tr>
      <w:tr w14:paraId="592F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2254" w:type="dxa"/>
            <w:gridSpan w:val="6"/>
            <w:tcBorders>
              <w:top w:val="single" w:color="auto" w:sz="4" w:space="0"/>
              <w:bottom w:val="single" w:color="auto" w:sz="4" w:space="0"/>
            </w:tcBorders>
            <w:vAlign w:val="center"/>
          </w:tcPr>
          <w:p w14:paraId="552E7A1F">
            <w:pPr>
              <w:spacing w:line="3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609" w:type="dxa"/>
            <w:gridSpan w:val="4"/>
            <w:tcBorders>
              <w:top w:val="single" w:color="auto" w:sz="4" w:space="0"/>
              <w:bottom w:val="single" w:color="auto" w:sz="4" w:space="0"/>
            </w:tcBorders>
            <w:vAlign w:val="center"/>
          </w:tcPr>
          <w:p w14:paraId="21C1E6BE">
            <w:pPr>
              <w:spacing w:line="300" w:lineRule="exact"/>
              <w:rPr>
                <w:rFonts w:ascii="仿宋" w:hAnsi="仿宋" w:eastAsia="仿宋" w:cs="Times New Roman"/>
                <w:color w:val="000000"/>
                <w:sz w:val="32"/>
                <w:szCs w:val="21"/>
              </w:rPr>
            </w:pPr>
            <w:r>
              <w:rPr>
                <w:rFonts w:hint="eastAsia" w:ascii="仿宋" w:hAnsi="仿宋" w:eastAsia="仿宋" w:cs="Times New Roman"/>
                <w:color w:val="000000"/>
                <w:sz w:val="21"/>
                <w:szCs w:val="21"/>
              </w:rPr>
              <w:t>王绪华</w:t>
            </w:r>
          </w:p>
        </w:tc>
        <w:tc>
          <w:tcPr>
            <w:tcW w:w="1489" w:type="dxa"/>
            <w:gridSpan w:val="2"/>
            <w:tcBorders>
              <w:top w:val="single" w:color="auto" w:sz="4" w:space="0"/>
              <w:bottom w:val="single" w:color="auto" w:sz="4" w:space="0"/>
            </w:tcBorders>
            <w:vAlign w:val="center"/>
          </w:tcPr>
          <w:p w14:paraId="4694163D">
            <w:pPr>
              <w:spacing w:line="300" w:lineRule="exact"/>
              <w:rPr>
                <w:rFonts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3166" w:type="dxa"/>
            <w:gridSpan w:val="6"/>
            <w:tcBorders>
              <w:top w:val="single" w:color="auto" w:sz="4" w:space="0"/>
              <w:bottom w:val="single" w:color="auto" w:sz="4" w:space="0"/>
            </w:tcBorders>
            <w:vAlign w:val="center"/>
          </w:tcPr>
          <w:p w14:paraId="413CFA37">
            <w:pPr>
              <w:spacing w:line="300" w:lineRule="exact"/>
              <w:rPr>
                <w:rFonts w:ascii="仿宋" w:hAnsi="仿宋" w:eastAsia="仿宋" w:cs="Times New Roman"/>
                <w:color w:val="000000"/>
                <w:szCs w:val="21"/>
              </w:rPr>
            </w:pPr>
            <w:r>
              <w:rPr>
                <w:rFonts w:hint="eastAsia" w:ascii="仿宋" w:hAnsi="仿宋" w:eastAsia="仿宋" w:cs="Times New Roman"/>
                <w:color w:val="000000"/>
                <w:sz w:val="21"/>
                <w:szCs w:val="21"/>
              </w:rPr>
              <w:t>13807018855</w:t>
            </w:r>
          </w:p>
        </w:tc>
      </w:tr>
    </w:tbl>
    <w:p w14:paraId="58A08CEE">
      <w:pPr>
        <w:widowControl/>
        <w:jc w:val="left"/>
        <w:rPr>
          <w:rFonts w:ascii="Times New Roman" w:hAnsi="Times New Roman" w:eastAsia="宋体" w:cs="Times New Roman"/>
          <w:color w:val="2E353C"/>
          <w:kern w:val="0"/>
          <w:sz w:val="24"/>
          <w:szCs w:val="24"/>
        </w:rPr>
      </w:pPr>
    </w:p>
    <w:p w14:paraId="05D56380">
      <w:pPr>
        <w:widowControl/>
        <w:jc w:val="left"/>
        <w:rPr>
          <w:rFonts w:ascii="Times New Roman" w:hAnsi="Times New Roman" w:eastAsia="宋体" w:cs="Times New Roman"/>
          <w:color w:val="2E353C"/>
          <w:kern w:val="0"/>
          <w:sz w:val="24"/>
          <w:szCs w:val="24"/>
        </w:rPr>
      </w:pPr>
    </w:p>
    <w:p w14:paraId="3A67C29D">
      <w:pPr>
        <w:widowControl/>
        <w:jc w:val="left"/>
        <w:rPr>
          <w:rFonts w:ascii="Times New Roman" w:hAnsi="Times New Roman" w:eastAsia="宋体" w:cs="Times New Roman"/>
          <w:color w:val="2E353C"/>
          <w:kern w:val="0"/>
          <w:sz w:val="24"/>
          <w:szCs w:val="24"/>
        </w:rPr>
      </w:pPr>
    </w:p>
    <w:p w14:paraId="2FAEF547">
      <w:pPr>
        <w:widowControl/>
        <w:jc w:val="left"/>
        <w:rPr>
          <w:rFonts w:ascii="Times New Roman" w:hAnsi="Times New Roman" w:eastAsia="宋体" w:cs="Times New Roman"/>
          <w:color w:val="2E353C"/>
          <w:kern w:val="0"/>
          <w:sz w:val="24"/>
          <w:szCs w:val="24"/>
        </w:rPr>
      </w:pPr>
    </w:p>
    <w:p w14:paraId="1D9310D3">
      <w:pPr>
        <w:widowControl/>
        <w:jc w:val="left"/>
        <w:rPr>
          <w:rFonts w:ascii="Times New Roman" w:hAnsi="Times New Roman" w:eastAsia="宋体" w:cs="Times New Roman"/>
          <w:color w:val="2E353C"/>
          <w:kern w:val="0"/>
          <w:sz w:val="24"/>
          <w:szCs w:val="24"/>
        </w:rPr>
      </w:pPr>
      <w:r>
        <w:rPr>
          <w:rFonts w:ascii="Times New Roman" w:hAnsi="Times New Roman" w:eastAsia="宋体" w:cs="Times New Roman"/>
          <w:color w:val="2E353C"/>
          <w:kern w:val="0"/>
          <w:sz w:val="24"/>
          <w:szCs w:val="24"/>
        </w:rPr>
        <w:drawing>
          <wp:inline distT="0" distB="0" distL="0" distR="0">
            <wp:extent cx="5278120" cy="2457450"/>
            <wp:effectExtent l="19050" t="0" r="0" b="0"/>
            <wp:docPr id="3" name="图片 3" descr="C:\Users\Administrator\Desktop\46becdc706b1aeca04a46f1f70c273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46becdc706b1aeca04a46f1f70c2732b.png"/>
                    <pic:cNvPicPr>
                      <a:picLocks noChangeAspect="1" noChangeArrowheads="1"/>
                    </pic:cNvPicPr>
                  </pic:nvPicPr>
                  <pic:blipFill>
                    <a:blip r:embed="rId10"/>
                    <a:srcRect/>
                    <a:stretch>
                      <a:fillRect/>
                    </a:stretch>
                  </pic:blipFill>
                  <pic:spPr>
                    <a:xfrm>
                      <a:off x="0" y="0"/>
                      <a:ext cx="5278120" cy="2457751"/>
                    </a:xfrm>
                    <a:prstGeom prst="rect">
                      <a:avLst/>
                    </a:prstGeom>
                    <a:noFill/>
                    <a:ln w="9525">
                      <a:noFill/>
                      <a:miter lim="800000"/>
                      <a:headEnd/>
                      <a:tailEnd/>
                    </a:ln>
                  </pic:spPr>
                </pic:pic>
              </a:graphicData>
            </a:graphic>
          </wp:inline>
        </w:drawing>
      </w:r>
    </w:p>
    <w:p w14:paraId="156D1738">
      <w:pPr>
        <w:widowControl/>
        <w:jc w:val="left"/>
        <w:rPr>
          <w:rFonts w:ascii="Times New Roman" w:hAnsi="Times New Roman" w:eastAsia="宋体" w:cs="Times New Roman"/>
          <w:color w:val="2E353C"/>
          <w:kern w:val="0"/>
          <w:sz w:val="24"/>
          <w:szCs w:val="24"/>
        </w:rPr>
      </w:pPr>
    </w:p>
    <w:p w14:paraId="239298B1">
      <w:pPr>
        <w:widowControl/>
        <w:jc w:val="left"/>
        <w:rPr>
          <w:rFonts w:ascii="Times New Roman" w:hAnsi="Times New Roman" w:eastAsia="宋体" w:cs="Times New Roman"/>
          <w:color w:val="2E353C"/>
          <w:kern w:val="0"/>
          <w:sz w:val="24"/>
          <w:szCs w:val="24"/>
        </w:rPr>
      </w:pPr>
    </w:p>
    <w:p w14:paraId="602075ED">
      <w:pPr>
        <w:widowControl/>
        <w:jc w:val="left"/>
        <w:rPr>
          <w:rFonts w:ascii="Times New Roman" w:hAnsi="Times New Roman" w:eastAsia="宋体" w:cs="Times New Roman"/>
          <w:color w:val="2E353C"/>
          <w:kern w:val="0"/>
          <w:sz w:val="24"/>
          <w:szCs w:val="24"/>
        </w:rPr>
      </w:pPr>
    </w:p>
    <w:p w14:paraId="3AA09FBB">
      <w:pPr>
        <w:widowControl/>
        <w:jc w:val="left"/>
        <w:rPr>
          <w:rFonts w:ascii="Times New Roman" w:hAnsi="Times New Roman" w:eastAsia="宋体" w:cs="Times New Roman"/>
          <w:color w:val="2E353C"/>
          <w:kern w:val="0"/>
          <w:sz w:val="24"/>
          <w:szCs w:val="24"/>
        </w:rPr>
      </w:pPr>
    </w:p>
    <w:p w14:paraId="6E27C86B">
      <w:pPr>
        <w:widowControl/>
        <w:jc w:val="left"/>
        <w:rPr>
          <w:rFonts w:ascii="Times New Roman" w:hAnsi="Times New Roman" w:eastAsia="宋体" w:cs="Times New Roman"/>
          <w:color w:val="2E353C"/>
          <w:kern w:val="0"/>
          <w:sz w:val="24"/>
          <w:szCs w:val="24"/>
        </w:rPr>
      </w:pPr>
    </w:p>
    <w:p w14:paraId="427312B4">
      <w:pPr>
        <w:widowControl/>
        <w:jc w:val="left"/>
        <w:rPr>
          <w:rFonts w:ascii="Times New Roman" w:hAnsi="Times New Roman" w:eastAsia="宋体" w:cs="Times New Roman"/>
          <w:color w:val="2E353C"/>
          <w:kern w:val="0"/>
          <w:sz w:val="24"/>
          <w:szCs w:val="24"/>
        </w:rPr>
      </w:pPr>
    </w:p>
    <w:p w14:paraId="45EFFD1E">
      <w:pPr>
        <w:widowControl/>
        <w:jc w:val="left"/>
        <w:rPr>
          <w:rFonts w:ascii="Times New Roman" w:hAnsi="Times New Roman" w:eastAsia="宋体" w:cs="Times New Roman"/>
          <w:color w:val="2E353C"/>
          <w:kern w:val="0"/>
          <w:sz w:val="24"/>
          <w:szCs w:val="24"/>
        </w:rPr>
      </w:pPr>
    </w:p>
    <w:p w14:paraId="3D51A466">
      <w:pPr>
        <w:widowControl/>
        <w:jc w:val="left"/>
        <w:rPr>
          <w:rFonts w:ascii="Times New Roman" w:hAnsi="Times New Roman" w:eastAsia="宋体" w:cs="Times New Roman"/>
          <w:color w:val="2E353C"/>
          <w:kern w:val="0"/>
          <w:sz w:val="24"/>
          <w:szCs w:val="24"/>
        </w:rPr>
      </w:pPr>
    </w:p>
    <w:p w14:paraId="44349B24">
      <w:pPr>
        <w:widowControl/>
        <w:jc w:val="left"/>
        <w:rPr>
          <w:rFonts w:ascii="Times New Roman" w:hAnsi="Times New Roman" w:eastAsia="宋体" w:cs="Times New Roman"/>
          <w:color w:val="2E353C"/>
          <w:kern w:val="0"/>
          <w:sz w:val="24"/>
          <w:szCs w:val="24"/>
        </w:rPr>
      </w:pPr>
    </w:p>
    <w:p w14:paraId="63060E94">
      <w:pPr>
        <w:widowControl/>
        <w:jc w:val="left"/>
        <w:rPr>
          <w:rFonts w:ascii="Times New Roman" w:hAnsi="Times New Roman" w:eastAsia="宋体" w:cs="Times New Roman"/>
          <w:color w:val="2E353C"/>
          <w:kern w:val="0"/>
          <w:sz w:val="24"/>
          <w:szCs w:val="24"/>
        </w:rPr>
      </w:pPr>
    </w:p>
    <w:p w14:paraId="63EF928A">
      <w:pPr>
        <w:widowControl/>
        <w:jc w:val="left"/>
        <w:rPr>
          <w:rFonts w:ascii="Times New Roman" w:hAnsi="Times New Roman" w:eastAsia="宋体" w:cs="Times New Roman"/>
          <w:color w:val="2E353C"/>
          <w:kern w:val="0"/>
          <w:sz w:val="24"/>
          <w:szCs w:val="24"/>
        </w:rPr>
      </w:pPr>
    </w:p>
    <w:p w14:paraId="1F1DD84B">
      <w:pPr>
        <w:widowControl/>
        <w:jc w:val="left"/>
        <w:rPr>
          <w:rFonts w:ascii="Times New Roman" w:hAnsi="Times New Roman" w:eastAsia="宋体" w:cs="Times New Roman"/>
          <w:color w:val="2E353C"/>
          <w:kern w:val="0"/>
          <w:sz w:val="24"/>
          <w:szCs w:val="24"/>
        </w:rPr>
      </w:pPr>
    </w:p>
    <w:p w14:paraId="3C007609">
      <w:pPr>
        <w:widowControl/>
        <w:jc w:val="left"/>
        <w:rPr>
          <w:rFonts w:ascii="Times New Roman" w:hAnsi="Times New Roman" w:eastAsia="宋体" w:cs="Times New Roman"/>
          <w:color w:val="2E353C"/>
          <w:kern w:val="0"/>
          <w:sz w:val="24"/>
          <w:szCs w:val="24"/>
        </w:rPr>
      </w:pPr>
    </w:p>
    <w:p w14:paraId="15416B1A">
      <w:pPr>
        <w:widowControl/>
        <w:jc w:val="left"/>
        <w:rPr>
          <w:rFonts w:ascii="Times New Roman" w:hAnsi="Times New Roman" w:eastAsia="宋体" w:cs="Times New Roman"/>
          <w:color w:val="2E353C"/>
          <w:kern w:val="0"/>
          <w:sz w:val="24"/>
          <w:szCs w:val="24"/>
        </w:rPr>
      </w:pPr>
    </w:p>
    <w:p w14:paraId="2CEDA528">
      <w:pPr>
        <w:widowControl/>
        <w:jc w:val="left"/>
        <w:rPr>
          <w:rFonts w:ascii="Times New Roman" w:hAnsi="Times New Roman" w:eastAsia="宋体" w:cs="Times New Roman"/>
          <w:color w:val="2E353C"/>
          <w:kern w:val="0"/>
          <w:sz w:val="24"/>
          <w:szCs w:val="24"/>
        </w:rPr>
      </w:pPr>
    </w:p>
    <w:p w14:paraId="681656F6">
      <w:pPr>
        <w:widowControl/>
        <w:jc w:val="left"/>
        <w:rPr>
          <w:rFonts w:ascii="Times New Roman" w:hAnsi="Times New Roman" w:eastAsia="宋体" w:cs="Times New Roman"/>
          <w:color w:val="2E353C"/>
          <w:kern w:val="0"/>
          <w:sz w:val="24"/>
          <w:szCs w:val="24"/>
        </w:rPr>
      </w:pPr>
    </w:p>
    <w:p w14:paraId="483BB224">
      <w:pPr>
        <w:widowControl/>
        <w:jc w:val="left"/>
        <w:rPr>
          <w:rFonts w:ascii="Times New Roman" w:hAnsi="Times New Roman" w:eastAsia="宋体" w:cs="Times New Roman"/>
          <w:color w:val="2E353C"/>
          <w:kern w:val="0"/>
          <w:sz w:val="24"/>
          <w:szCs w:val="24"/>
        </w:rPr>
      </w:pPr>
    </w:p>
    <w:p w14:paraId="67E36A7A">
      <w:pPr>
        <w:widowControl/>
        <w:jc w:val="left"/>
        <w:rPr>
          <w:rFonts w:ascii="Times New Roman" w:hAnsi="Times New Roman" w:eastAsia="宋体" w:cs="Times New Roman"/>
          <w:color w:val="2E353C"/>
          <w:kern w:val="0"/>
          <w:sz w:val="24"/>
          <w:szCs w:val="24"/>
        </w:rPr>
      </w:pPr>
    </w:p>
    <w:p w14:paraId="7C5FF67A">
      <w:pPr>
        <w:widowControl/>
        <w:jc w:val="left"/>
        <w:rPr>
          <w:rFonts w:ascii="Times New Roman" w:hAnsi="Times New Roman" w:eastAsia="宋体" w:cs="Times New Roman"/>
          <w:color w:val="2E353C"/>
          <w:kern w:val="0"/>
          <w:sz w:val="24"/>
          <w:szCs w:val="24"/>
        </w:rPr>
      </w:pPr>
    </w:p>
    <w:p w14:paraId="7A0EA722">
      <w:pPr>
        <w:widowControl/>
        <w:jc w:val="left"/>
        <w:rPr>
          <w:rFonts w:hint="eastAsia" w:ascii="Times New Roman" w:hAnsi="Times New Roman" w:eastAsia="宋体" w:cs="Times New Roman"/>
          <w:color w:val="2E353C"/>
          <w:kern w:val="0"/>
          <w:sz w:val="24"/>
          <w:szCs w:val="24"/>
        </w:rPr>
      </w:pPr>
    </w:p>
    <w:p w14:paraId="6F63E970">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Times New Roman"/>
          <w:color w:val="000000"/>
          <w:w w:val="95"/>
          <w:sz w:val="28"/>
          <w:szCs w:val="28"/>
        </w:rPr>
      </w:pPr>
      <w:r>
        <w:rPr>
          <w:rFonts w:hint="eastAsia" w:ascii="仿宋" w:hAnsi="仿宋" w:eastAsia="仿宋" w:cs="Times New Roman"/>
          <w:color w:val="000000"/>
          <w:w w:val="95"/>
          <w:sz w:val="28"/>
          <w:szCs w:val="28"/>
        </w:rPr>
        <w:t>消息</w:t>
      </w:r>
    </w:p>
    <w:p w14:paraId="5172C6B8">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Times New Roman"/>
          <w:color w:val="000000"/>
          <w:w w:val="95"/>
          <w:sz w:val="28"/>
          <w:szCs w:val="28"/>
        </w:rPr>
      </w:pPr>
    </w:p>
    <w:p w14:paraId="43010985">
      <w:pPr>
        <w:keepNext w:val="0"/>
        <w:keepLines w:val="0"/>
        <w:pageBreakBefore w:val="0"/>
        <w:widowControl/>
        <w:kinsoku/>
        <w:wordWrap/>
        <w:overflowPunct/>
        <w:topLinePunct w:val="0"/>
        <w:autoSpaceDE/>
        <w:autoSpaceDN/>
        <w:bidi w:val="0"/>
        <w:adjustRightInd/>
        <w:snapToGrid/>
        <w:spacing w:line="560" w:lineRule="exact"/>
        <w:ind w:firstLine="2687" w:firstLineChars="1018"/>
        <w:jc w:val="left"/>
        <w:textAlignment w:val="auto"/>
        <w:rPr>
          <w:rFonts w:hint="eastAsia" w:ascii="仿宋" w:hAnsi="仿宋" w:eastAsia="仿宋" w:cs="Times New Roman"/>
          <w:color w:val="000000"/>
          <w:w w:val="95"/>
          <w:sz w:val="28"/>
          <w:szCs w:val="28"/>
        </w:rPr>
      </w:pPr>
      <w:r>
        <w:rPr>
          <w:rFonts w:ascii="仿宋" w:hAnsi="仿宋" w:eastAsia="仿宋" w:cs="Times New Roman"/>
          <w:color w:val="000000"/>
          <w:w w:val="95"/>
          <w:sz w:val="28"/>
          <w:szCs w:val="28"/>
        </w:rPr>
        <w:t xml:space="preserve">守护中华秋沙鸭自然保护区19载 </w:t>
      </w:r>
    </w:p>
    <w:p w14:paraId="2E5CAE30">
      <w:pPr>
        <w:keepNext w:val="0"/>
        <w:keepLines w:val="0"/>
        <w:pageBreakBefore w:val="0"/>
        <w:widowControl/>
        <w:kinsoku/>
        <w:wordWrap/>
        <w:overflowPunct/>
        <w:topLinePunct w:val="0"/>
        <w:autoSpaceDE/>
        <w:autoSpaceDN/>
        <w:bidi w:val="0"/>
        <w:adjustRightInd/>
        <w:snapToGrid/>
        <w:spacing w:line="560" w:lineRule="exact"/>
        <w:ind w:firstLine="1908" w:firstLineChars="600"/>
        <w:jc w:val="left"/>
        <w:textAlignment w:val="auto"/>
        <w:rPr>
          <w:rFonts w:ascii="黑体" w:hAnsi="黑体" w:eastAsia="黑体" w:cs="Times New Roman"/>
          <w:color w:val="2E353C"/>
          <w:kern w:val="0"/>
          <w:sz w:val="32"/>
          <w:szCs w:val="32"/>
        </w:rPr>
      </w:pPr>
      <w:r>
        <w:rPr>
          <w:rFonts w:ascii="黑体" w:hAnsi="黑体" w:eastAsia="黑体" w:cs="Times New Roman"/>
          <w:color w:val="2E353C"/>
          <w:kern w:val="0"/>
          <w:sz w:val="32"/>
          <w:szCs w:val="32"/>
        </w:rPr>
        <w:t>生态“入股”让沙湾村民腰包鼓起来</w:t>
      </w:r>
    </w:p>
    <w:p w14:paraId="3A598F2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Times New Roman"/>
          <w:color w:val="000000"/>
          <w:w w:val="95"/>
          <w:sz w:val="24"/>
          <w:szCs w:val="24"/>
        </w:rPr>
      </w:pPr>
      <w:r>
        <w:rPr>
          <w:rFonts w:hint="eastAsia" w:ascii="仿宋" w:hAnsi="仿宋" w:eastAsia="仿宋" w:cs="Times New Roman"/>
          <w:color w:val="000000"/>
          <w:w w:val="95"/>
          <w:sz w:val="24"/>
          <w:szCs w:val="24"/>
        </w:rPr>
        <w:t>作者：王绪华</w:t>
      </w:r>
    </w:p>
    <w:p w14:paraId="3577624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Times New Roman"/>
          <w:color w:val="000000"/>
          <w:w w:val="95"/>
          <w:sz w:val="24"/>
          <w:szCs w:val="24"/>
        </w:rPr>
      </w:pPr>
      <w:r>
        <w:rPr>
          <w:rFonts w:hint="eastAsia" w:ascii="仿宋" w:hAnsi="仿宋" w:eastAsia="仿宋" w:cs="Times New Roman"/>
          <w:color w:val="000000"/>
          <w:w w:val="95"/>
          <w:sz w:val="24"/>
          <w:szCs w:val="24"/>
        </w:rPr>
        <w:t>编辑：夏东华、冯晓丹</w:t>
      </w:r>
    </w:p>
    <w:p w14:paraId="60AFE8CF">
      <w:pPr>
        <w:keepNext w:val="0"/>
        <w:keepLines w:val="0"/>
        <w:pageBreakBefore w:val="0"/>
        <w:widowControl/>
        <w:kinsoku/>
        <w:wordWrap/>
        <w:overflowPunct/>
        <w:topLinePunct w:val="0"/>
        <w:autoSpaceDE/>
        <w:autoSpaceDN/>
        <w:bidi w:val="0"/>
        <w:adjustRightInd/>
        <w:snapToGrid/>
        <w:spacing w:line="560" w:lineRule="exact"/>
        <w:ind w:firstLine="2547" w:firstLineChars="1127"/>
        <w:jc w:val="left"/>
        <w:textAlignment w:val="auto"/>
        <w:rPr>
          <w:rFonts w:hint="eastAsia" w:ascii="仿宋" w:hAnsi="仿宋" w:eastAsia="仿宋" w:cs="Times New Roman"/>
          <w:color w:val="000000"/>
          <w:w w:val="95"/>
          <w:sz w:val="24"/>
          <w:szCs w:val="24"/>
        </w:rPr>
      </w:pPr>
    </w:p>
    <w:p w14:paraId="24B13008">
      <w:pPr>
        <w:keepNext w:val="0"/>
        <w:keepLines w:val="0"/>
        <w:pageBreakBefore w:val="0"/>
        <w:widowControl/>
        <w:kinsoku/>
        <w:wordWrap/>
        <w:overflowPunct/>
        <w:topLinePunct w:val="0"/>
        <w:autoSpaceDE/>
        <w:autoSpaceDN/>
        <w:bidi w:val="0"/>
        <w:adjustRightInd/>
        <w:snapToGrid/>
        <w:spacing w:line="560" w:lineRule="exact"/>
        <w:ind w:firstLine="417" w:firstLineChars="150"/>
        <w:textAlignment w:val="auto"/>
        <w:rPr>
          <w:rFonts w:ascii="仿宋" w:hAnsi="仿宋" w:eastAsia="仿宋" w:cs="Arial"/>
          <w:color w:val="000000"/>
          <w:kern w:val="0"/>
          <w:sz w:val="28"/>
          <w:szCs w:val="28"/>
        </w:rPr>
      </w:pPr>
      <w:r>
        <w:rPr>
          <w:rFonts w:ascii="仿宋" w:hAnsi="仿宋" w:eastAsia="仿宋" w:cs="Arial"/>
          <w:color w:val="000000"/>
          <w:kern w:val="0"/>
          <w:sz w:val="28"/>
          <w:szCs w:val="28"/>
        </w:rPr>
        <w:t>“今年村里的产业分红，你家一共分了7100元，我们会转到你的社保卡里。”12月29日，沐浴着冬日暖阳，龙虎山景区上清镇沙湾村沉浸在喜庆的气氛中，村“两委”干部正给村民挨个打电话通知。</w:t>
      </w:r>
    </w:p>
    <w:p w14:paraId="2402280D">
      <w:pPr>
        <w:keepNext w:val="0"/>
        <w:keepLines w:val="0"/>
        <w:pageBreakBefore w:val="0"/>
        <w:widowControl/>
        <w:kinsoku/>
        <w:wordWrap/>
        <w:overflowPunct/>
        <w:topLinePunct w:val="0"/>
        <w:autoSpaceDE/>
        <w:autoSpaceDN/>
        <w:bidi w:val="0"/>
        <w:adjustRightInd/>
        <w:snapToGrid/>
        <w:spacing w:line="560" w:lineRule="exact"/>
        <w:ind w:firstLine="417" w:firstLineChars="150"/>
        <w:textAlignment w:val="auto"/>
        <w:rPr>
          <w:rFonts w:ascii="仿宋" w:hAnsi="仿宋" w:eastAsia="仿宋" w:cs="Arial"/>
          <w:color w:val="000000"/>
          <w:kern w:val="0"/>
          <w:sz w:val="28"/>
          <w:szCs w:val="28"/>
        </w:rPr>
      </w:pPr>
      <w:r>
        <w:rPr>
          <w:rFonts w:ascii="仿宋" w:hAnsi="仿宋" w:eastAsia="仿宋" w:cs="Arial"/>
          <w:color w:val="000000"/>
          <w:kern w:val="0"/>
          <w:sz w:val="28"/>
          <w:szCs w:val="28"/>
        </w:rPr>
        <w:t>“我家开民宿、养土蜜蜂、办茶厂，一年总收入保守估计二十几万元吧。绿水青山就是金山银山，我们确确实实感受到了。”村民练美根掩饰不住内心的喜悦。</w:t>
      </w:r>
    </w:p>
    <w:p w14:paraId="366A17AB">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ascii="仿宋" w:hAnsi="仿宋" w:eastAsia="仿宋" w:cs="Arial"/>
          <w:color w:val="000000"/>
          <w:kern w:val="0"/>
          <w:sz w:val="28"/>
          <w:szCs w:val="28"/>
        </w:rPr>
      </w:pPr>
      <w:r>
        <w:rPr>
          <w:rFonts w:ascii="仿宋" w:hAnsi="仿宋" w:eastAsia="仿宋" w:cs="Arial"/>
          <w:color w:val="000000"/>
          <w:kern w:val="0"/>
          <w:sz w:val="28"/>
          <w:szCs w:val="28"/>
        </w:rPr>
        <w:t>沙湾村地处中华秋沙鸭自然保护区，中华秋沙鸭是世界濒危物种，被誉为“鸟中大熊猫”，对栖息地的生态要求严苛。2007年11月，在沙湾村泸溪河畔首次发现中华秋沙鸭后，龙虎山景区随后建立了1800余公顷的自然保护区，沙湾村拥有的31200亩山林被整体划入保护区，禁止砍伐、狩猎和捕鱼。</w:t>
      </w:r>
    </w:p>
    <w:p w14:paraId="4F188CC6">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ascii="仿宋" w:hAnsi="仿宋" w:eastAsia="仿宋" w:cs="Arial"/>
          <w:color w:val="000000"/>
          <w:kern w:val="0"/>
          <w:sz w:val="28"/>
          <w:szCs w:val="28"/>
        </w:rPr>
      </w:pPr>
      <w:r>
        <w:rPr>
          <w:rFonts w:ascii="仿宋" w:hAnsi="仿宋" w:eastAsia="仿宋" w:cs="Arial"/>
          <w:color w:val="000000"/>
          <w:kern w:val="0"/>
          <w:sz w:val="28"/>
          <w:szCs w:val="28"/>
        </w:rPr>
        <w:t>绿水青山就是金山银山，村“两委”在深入调研基础上达成共识：沙湾村优势在生态，潜力也在生态。要想富，必须践行“两山”理念，依托生态资源，发展绿色产业。</w:t>
      </w:r>
    </w:p>
    <w:p w14:paraId="60511403">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ascii="仿宋" w:hAnsi="仿宋" w:eastAsia="仿宋" w:cs="Arial"/>
          <w:color w:val="000000"/>
          <w:kern w:val="0"/>
          <w:sz w:val="28"/>
          <w:szCs w:val="28"/>
        </w:rPr>
      </w:pPr>
      <w:r>
        <w:rPr>
          <w:rFonts w:ascii="仿宋" w:hAnsi="仿宋" w:eastAsia="仿宋" w:cs="Arial"/>
          <w:color w:val="000000"/>
          <w:kern w:val="0"/>
          <w:sz w:val="28"/>
          <w:szCs w:val="28"/>
        </w:rPr>
        <w:t>沙湾村依山傍水，保护区封山育林以后，植物生长茂盛、蜜源种类繁多，非常适合土蜂养殖。村“两委”将土蜂养殖作为一项基础产业来抓，成立专业合作社，将蜂蜜统一收购、加工、销售。现在沙湾村有94户村民养蜂，今年产蜜4.5万余斤，户均增收近2万元，青翠欲滴的大山成了村民取之不尽、用之不竭的“绿色银行”。</w:t>
      </w:r>
      <w:r>
        <w:rPr>
          <w:rFonts w:ascii="Arial" w:hAnsi="Arial" w:eastAsia="仿宋" w:cs="Arial"/>
          <w:color w:val="000000"/>
          <w:kern w:val="0"/>
          <w:sz w:val="28"/>
          <w:szCs w:val="28"/>
        </w:rPr>
        <w:t>  </w:t>
      </w:r>
    </w:p>
    <w:p w14:paraId="48D5892F">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ascii="仿宋" w:hAnsi="仿宋" w:eastAsia="仿宋" w:cs="Arial"/>
          <w:color w:val="000000"/>
          <w:kern w:val="0"/>
          <w:sz w:val="28"/>
          <w:szCs w:val="28"/>
        </w:rPr>
      </w:pPr>
      <w:r>
        <w:rPr>
          <w:rFonts w:ascii="仿宋" w:hAnsi="仿宋" w:eastAsia="仿宋" w:cs="Arial"/>
          <w:color w:val="000000"/>
          <w:kern w:val="0"/>
          <w:sz w:val="28"/>
          <w:szCs w:val="28"/>
        </w:rPr>
        <w:t>良好的生态减少了病虫害，经济作物长势好、品质高，沙湾村以村集体土地入股方式发展260亩有机蔬菜种植，带动了本村和周边村民80多人就业，人均年增收约1.5万元。还推出“共享菜地”农场，以每年500元一块菜地供市民认领，由村民帮忙照料，每年为村集体增收10万元以上，带动20多名村民就业。</w:t>
      </w:r>
    </w:p>
    <w:p w14:paraId="599BDD91">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ascii="仿宋" w:hAnsi="仿宋" w:eastAsia="仿宋" w:cs="Arial"/>
          <w:color w:val="000000"/>
          <w:kern w:val="0"/>
          <w:sz w:val="28"/>
          <w:szCs w:val="28"/>
        </w:rPr>
      </w:pPr>
      <w:r>
        <w:rPr>
          <w:rFonts w:ascii="仿宋" w:hAnsi="仿宋" w:eastAsia="仿宋" w:cs="Arial"/>
          <w:color w:val="000000"/>
          <w:kern w:val="0"/>
          <w:sz w:val="28"/>
          <w:szCs w:val="28"/>
        </w:rPr>
        <w:t>近年来，沙湾村因地制宜，巧用山水资源，在中华秋沙鸭自然保护区外围建成圣井溪畔多功能露营基地、九井口森林咖啡馆等旅游项目，从过去的“旅游路过村”变成现在的“网红打卡地”，带动全村开设民宿和农家乐11家，让更多村民吃上“旅游饭”。今年以来，沙湾村累计接待游客超40万人次，乡村旅游带动村民增收200多万元。今年11月，沙湾村被推选为江西省第二批“美丽细胞”建设优秀案例。</w:t>
      </w:r>
    </w:p>
    <w:p w14:paraId="08ED10AA">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ascii="仿宋" w:hAnsi="仿宋" w:eastAsia="仿宋"/>
          <w:sz w:val="28"/>
          <w:szCs w:val="28"/>
        </w:rPr>
      </w:pPr>
      <w:r>
        <w:rPr>
          <w:rFonts w:ascii="仿宋" w:hAnsi="仿宋" w:eastAsia="仿宋" w:cs="Arial"/>
          <w:color w:val="000000"/>
          <w:kern w:val="0"/>
          <w:sz w:val="28"/>
          <w:szCs w:val="28"/>
        </w:rPr>
        <w:t>“中华秋沙鸭已连续19年在我们村北段泸溪河越冬，叫响了我们村的生态品牌，对我们村发展绿色产业起到了很大的促进作用，人与自然和谐相处才是长远之道。”沙湾村党支部书记吴建波带着村民巡护河岸时感慨地说道。</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0" w:num="1"/>
      <w:rtlGutter w:val="0"/>
      <w:docGrid w:type="linesAndChars" w:linePitch="410"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0000000000000000000"/>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w:altName w:val="华文仿宋"/>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059">
    <w:panose1 w:val="00000500000000000000"/>
    <w:charset w:val="00"/>
    <w:family w:val="auto"/>
    <w:pitch w:val="default"/>
    <w:sig w:usb0="00000287" w:usb1="00000800" w:usb2="00000000" w:usb3="00000000" w:csb0="6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E42E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52ACB">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509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92271">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0E555">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7CEC5">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39"/>
  <w:drawingGridVerticalSpacing w:val="205"/>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g5MTJiNThlZjQ3NzQxNWJmMjFkMTgzYjE0ZjEwMTUifQ=="/>
  </w:docVars>
  <w:rsids>
    <w:rsidRoot w:val="00926BC2"/>
    <w:rsid w:val="00003DD9"/>
    <w:rsid w:val="000305E6"/>
    <w:rsid w:val="00053A2A"/>
    <w:rsid w:val="00072C2D"/>
    <w:rsid w:val="000C3809"/>
    <w:rsid w:val="000C68FB"/>
    <w:rsid w:val="000E643B"/>
    <w:rsid w:val="00112BEF"/>
    <w:rsid w:val="00123704"/>
    <w:rsid w:val="00133337"/>
    <w:rsid w:val="00133BCD"/>
    <w:rsid w:val="001421C1"/>
    <w:rsid w:val="001440A6"/>
    <w:rsid w:val="00144DF0"/>
    <w:rsid w:val="0019242E"/>
    <w:rsid w:val="001B3280"/>
    <w:rsid w:val="001D0E22"/>
    <w:rsid w:val="002001CC"/>
    <w:rsid w:val="0021707C"/>
    <w:rsid w:val="00223BBC"/>
    <w:rsid w:val="0024458D"/>
    <w:rsid w:val="00253D4D"/>
    <w:rsid w:val="002606C4"/>
    <w:rsid w:val="0026283A"/>
    <w:rsid w:val="00280E07"/>
    <w:rsid w:val="002E0AD9"/>
    <w:rsid w:val="00302365"/>
    <w:rsid w:val="00302F72"/>
    <w:rsid w:val="003371B0"/>
    <w:rsid w:val="0034035D"/>
    <w:rsid w:val="003419B7"/>
    <w:rsid w:val="00346993"/>
    <w:rsid w:val="00365323"/>
    <w:rsid w:val="00367921"/>
    <w:rsid w:val="00395F8B"/>
    <w:rsid w:val="003A7D88"/>
    <w:rsid w:val="003B19AA"/>
    <w:rsid w:val="003E6DFF"/>
    <w:rsid w:val="00403B28"/>
    <w:rsid w:val="00416FBA"/>
    <w:rsid w:val="00433816"/>
    <w:rsid w:val="00441C13"/>
    <w:rsid w:val="00474E87"/>
    <w:rsid w:val="00484617"/>
    <w:rsid w:val="004B48FC"/>
    <w:rsid w:val="004C1ED1"/>
    <w:rsid w:val="004C3515"/>
    <w:rsid w:val="004E3D5E"/>
    <w:rsid w:val="004F21DB"/>
    <w:rsid w:val="004F5B72"/>
    <w:rsid w:val="00517997"/>
    <w:rsid w:val="005258FA"/>
    <w:rsid w:val="00534FCA"/>
    <w:rsid w:val="0054736E"/>
    <w:rsid w:val="0056711F"/>
    <w:rsid w:val="005937B0"/>
    <w:rsid w:val="005A6880"/>
    <w:rsid w:val="005D1989"/>
    <w:rsid w:val="005D49D3"/>
    <w:rsid w:val="0064022F"/>
    <w:rsid w:val="0064261E"/>
    <w:rsid w:val="0068401A"/>
    <w:rsid w:val="006933E8"/>
    <w:rsid w:val="006B0AE1"/>
    <w:rsid w:val="007050B1"/>
    <w:rsid w:val="007073E0"/>
    <w:rsid w:val="00714BAE"/>
    <w:rsid w:val="00736A55"/>
    <w:rsid w:val="0074332E"/>
    <w:rsid w:val="00775798"/>
    <w:rsid w:val="0079161A"/>
    <w:rsid w:val="007C180E"/>
    <w:rsid w:val="007C77C7"/>
    <w:rsid w:val="00847219"/>
    <w:rsid w:val="008935AB"/>
    <w:rsid w:val="008C03FE"/>
    <w:rsid w:val="00926BC2"/>
    <w:rsid w:val="00926E57"/>
    <w:rsid w:val="009367BD"/>
    <w:rsid w:val="009677C3"/>
    <w:rsid w:val="00993D6B"/>
    <w:rsid w:val="009A2279"/>
    <w:rsid w:val="009A23C7"/>
    <w:rsid w:val="009D6149"/>
    <w:rsid w:val="009F3058"/>
    <w:rsid w:val="00A710FD"/>
    <w:rsid w:val="00AC1BA9"/>
    <w:rsid w:val="00AC5FC0"/>
    <w:rsid w:val="00AF5725"/>
    <w:rsid w:val="00B0142B"/>
    <w:rsid w:val="00B01E9A"/>
    <w:rsid w:val="00B147B2"/>
    <w:rsid w:val="00B168B6"/>
    <w:rsid w:val="00B30C0D"/>
    <w:rsid w:val="00BA51D5"/>
    <w:rsid w:val="00BA609F"/>
    <w:rsid w:val="00BB3A4F"/>
    <w:rsid w:val="00BB6173"/>
    <w:rsid w:val="00BC2E66"/>
    <w:rsid w:val="00BD5D7F"/>
    <w:rsid w:val="00BE5B19"/>
    <w:rsid w:val="00C05584"/>
    <w:rsid w:val="00C23213"/>
    <w:rsid w:val="00C47D06"/>
    <w:rsid w:val="00C55055"/>
    <w:rsid w:val="00C738E3"/>
    <w:rsid w:val="00C86CF1"/>
    <w:rsid w:val="00D64361"/>
    <w:rsid w:val="00D67E4E"/>
    <w:rsid w:val="00D90026"/>
    <w:rsid w:val="00D978B7"/>
    <w:rsid w:val="00D97A32"/>
    <w:rsid w:val="00DA19CA"/>
    <w:rsid w:val="00DB7EB4"/>
    <w:rsid w:val="00E115C5"/>
    <w:rsid w:val="00E15627"/>
    <w:rsid w:val="00E22E34"/>
    <w:rsid w:val="00E2305B"/>
    <w:rsid w:val="00E807F5"/>
    <w:rsid w:val="00E82F0E"/>
    <w:rsid w:val="00EA235C"/>
    <w:rsid w:val="00EA4751"/>
    <w:rsid w:val="00EA5207"/>
    <w:rsid w:val="00EC1A77"/>
    <w:rsid w:val="00EE467F"/>
    <w:rsid w:val="00EF36AF"/>
    <w:rsid w:val="00F001E6"/>
    <w:rsid w:val="00F23A0A"/>
    <w:rsid w:val="00F52080"/>
    <w:rsid w:val="00F537D4"/>
    <w:rsid w:val="00F542F7"/>
    <w:rsid w:val="00F56869"/>
    <w:rsid w:val="00F77D4E"/>
    <w:rsid w:val="00F82FC3"/>
    <w:rsid w:val="00F94E52"/>
    <w:rsid w:val="00FA0BC0"/>
    <w:rsid w:val="00FC2EEE"/>
    <w:rsid w:val="00FD48DE"/>
    <w:rsid w:val="00FD7C8E"/>
    <w:rsid w:val="00FF0F1A"/>
    <w:rsid w:val="00FF76E5"/>
    <w:rsid w:val="0674150C"/>
    <w:rsid w:val="08674270"/>
    <w:rsid w:val="15EE7D7F"/>
    <w:rsid w:val="1A134EF6"/>
    <w:rsid w:val="1ADF05DE"/>
    <w:rsid w:val="1EF7BDD0"/>
    <w:rsid w:val="30121A9A"/>
    <w:rsid w:val="3699743B"/>
    <w:rsid w:val="3F397A0D"/>
    <w:rsid w:val="4A444CA5"/>
    <w:rsid w:val="53C66C82"/>
    <w:rsid w:val="5B5A4B3C"/>
    <w:rsid w:val="6AA33E09"/>
    <w:rsid w:val="6E68662E"/>
    <w:rsid w:val="7BFD65DC"/>
    <w:rsid w:val="7F7901E2"/>
    <w:rsid w:val="94BF0C54"/>
    <w:rsid w:val="B7FFBC97"/>
    <w:rsid w:val="BD1DDCF6"/>
    <w:rsid w:val="DCFD7AB4"/>
    <w:rsid w:val="DFEF9982"/>
    <w:rsid w:val="EFD6825C"/>
    <w:rsid w:val="F3F76893"/>
    <w:rsid w:val="FF5B86E3"/>
    <w:rsid w:val="FF77D3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1905</Words>
  <Characters>2148</Characters>
  <Lines>118</Lines>
  <Paragraphs>143</Paragraphs>
  <TotalTime>9</TotalTime>
  <ScaleCrop>false</ScaleCrop>
  <LinksUpToDate>false</LinksUpToDate>
  <CharactersWithSpaces>2165</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2024-01-22T23:11:00Z</dcterms:created>
  <dc:creator>听 林</dc:creator>
  <cp:lastModifiedBy>牧风</cp:lastModifiedBy>
  <cp:lastPrinted>2025-01-17T00:31:00Z</cp:lastPrinted>
  <dcterms:modified xsi:type="dcterms:W3CDTF">2026-01-18T10:13:47Z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eyJoZGlkIjoiMGQ1NzBhNzEzMzI3N2ZjOWU0YmEwZDk5NmZkMTkyYTMiLCJ1c2VySWQiOiIzMDc2NzE1OTcifQ==</vt:lpwstr>
  </property>
  <property fmtid="{D5CDD505-2E9C-101B-9397-08002B2CF9AE}" pid="3" name="KSOProductBuildVer">
    <vt:lpwstr>2052-12.8.2.1115</vt:lpwstr>
  </property>
  <property fmtid="{D5CDD505-2E9C-101B-9397-08002B2CF9AE}" pid="4" name="ICV">
    <vt:lpwstr>D3BD566D09124A60A663A79CD253CE4D_12</vt:lpwstr>
  </property>
</Properties>
</file>