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76BA62">
      <w:pPr>
        <w:keepNext w:val="0"/>
        <w:keepLines w:val="0"/>
        <w:pageBreakBefore w:val="0"/>
        <w:widowControl w:val="0"/>
        <w:kinsoku/>
        <w:wordWrap/>
        <w:overflowPunct/>
        <w:topLinePunct w:val="0"/>
        <w:autoSpaceDE/>
        <w:autoSpaceDN/>
        <w:bidi w:val="0"/>
        <w:adjustRightInd/>
        <w:snapToGrid/>
        <w:spacing w:after="156" w:afterLines="50" w:line="360" w:lineRule="exact"/>
        <w:jc w:val="center"/>
        <w:textAlignment w:val="auto"/>
        <w:rPr>
          <w:rFonts w:hint="eastAsia" w:ascii="华文中宋" w:hAnsi="华文中宋" w:eastAsia="华文中宋" w:cs="方正小标宋简体"/>
          <w:color w:val="000000"/>
          <w:sz w:val="36"/>
          <w:szCs w:val="36"/>
        </w:rPr>
      </w:pPr>
      <w:bookmarkStart w:id="0" w:name="_GoBack"/>
      <w:bookmarkEnd w:id="0"/>
      <w:r>
        <w:rPr>
          <w:rFonts w:hint="eastAsia" w:ascii="华文中宋" w:hAnsi="华文中宋" w:eastAsia="华文中宋" w:cs="方正小标宋简体"/>
          <w:color w:val="000000"/>
          <w:sz w:val="36"/>
          <w:szCs w:val="36"/>
        </w:rPr>
        <w:t>参评作品推荐表</w:t>
      </w:r>
    </w:p>
    <w:tbl>
      <w:tblPr>
        <w:tblStyle w:val="2"/>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282"/>
        <w:gridCol w:w="455"/>
        <w:gridCol w:w="251"/>
        <w:gridCol w:w="426"/>
        <w:gridCol w:w="147"/>
        <w:gridCol w:w="985"/>
        <w:gridCol w:w="449"/>
        <w:gridCol w:w="419"/>
        <w:gridCol w:w="549"/>
        <w:gridCol w:w="232"/>
        <w:gridCol w:w="74"/>
        <w:gridCol w:w="403"/>
        <w:gridCol w:w="283"/>
        <w:gridCol w:w="421"/>
        <w:gridCol w:w="146"/>
        <w:gridCol w:w="146"/>
        <w:gridCol w:w="563"/>
        <w:gridCol w:w="144"/>
        <w:gridCol w:w="711"/>
        <w:gridCol w:w="281"/>
        <w:gridCol w:w="843"/>
        <w:gridCol w:w="714"/>
      </w:tblGrid>
      <w:tr w14:paraId="4946C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exact"/>
          <w:jc w:val="center"/>
        </w:trPr>
        <w:tc>
          <w:tcPr>
            <w:tcW w:w="1573" w:type="dxa"/>
            <w:gridSpan w:val="3"/>
            <w:vAlign w:val="center"/>
          </w:tcPr>
          <w:p w14:paraId="0D1ECB55">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作品标题</w:t>
            </w:r>
          </w:p>
        </w:tc>
        <w:tc>
          <w:tcPr>
            <w:tcW w:w="3532" w:type="dxa"/>
            <w:gridSpan w:val="9"/>
            <w:vAlign w:val="center"/>
          </w:tcPr>
          <w:p w14:paraId="16A40D33">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Times New Roman"/>
                <w:color w:val="000000"/>
                <w:sz w:val="21"/>
                <w:szCs w:val="21"/>
                <w:lang w:val="en-US" w:eastAsia="zh-CN"/>
              </w:rPr>
            </w:pPr>
            <w:r>
              <w:rPr>
                <w:rFonts w:hint="eastAsia" w:ascii="仿宋" w:hAnsi="仿宋" w:eastAsia="仿宋" w:cs="仿宋"/>
                <w:b w:val="0"/>
                <w:bCs w:val="0"/>
                <w:i w:val="0"/>
                <w:iCs w:val="0"/>
                <w:caps w:val="0"/>
                <w:color w:val="000000" w:themeColor="text1"/>
                <w:spacing w:val="0"/>
                <w:sz w:val="21"/>
                <w:szCs w:val="21"/>
                <w:lang w:val="en-US" w:eastAsia="zh-CN"/>
                <w14:textFill>
                  <w14:solidFill>
                    <w14:schemeClr w14:val="tx1"/>
                  </w14:solidFill>
                </w14:textFill>
              </w:rPr>
              <w:t>“四</w:t>
            </w:r>
            <w:r>
              <w:rPr>
                <w:rFonts w:hint="eastAsia" w:ascii="仿宋" w:hAnsi="仿宋" w:eastAsia="仿宋" w:cs="Times New Roman"/>
                <w:color w:val="000000"/>
                <w:sz w:val="21"/>
                <w:szCs w:val="21"/>
                <w:lang w:val="en-US" w:eastAsia="zh-CN"/>
              </w:rPr>
              <w:t>维发力”破局产业转型</w:t>
            </w:r>
          </w:p>
          <w:p w14:paraId="7BD1B49B">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仿宋"/>
                <w:b w:val="0"/>
                <w:bCs w:val="0"/>
                <w:i w:val="0"/>
                <w:iCs w:val="0"/>
                <w:caps w:val="0"/>
                <w:color w:val="000000" w:themeColor="text1"/>
                <w:spacing w:val="0"/>
                <w:sz w:val="21"/>
                <w:szCs w:val="21"/>
                <w14:textFill>
                  <w14:solidFill>
                    <w14:schemeClr w14:val="tx1"/>
                  </w14:solidFill>
                </w14:textFill>
              </w:rPr>
            </w:pPr>
            <w:r>
              <w:rPr>
                <w:rFonts w:hint="eastAsia" w:ascii="仿宋" w:hAnsi="仿宋" w:eastAsia="仿宋" w:cs="Times New Roman"/>
                <w:color w:val="000000"/>
                <w:sz w:val="21"/>
                <w:szCs w:val="21"/>
                <w:lang w:val="en-US" w:eastAsia="zh-CN"/>
              </w:rPr>
              <w:t>鹰潭制造业数转经</w:t>
            </w:r>
            <w:r>
              <w:rPr>
                <w:rFonts w:hint="eastAsia" w:ascii="仿宋" w:hAnsi="仿宋" w:eastAsia="仿宋" w:cs="仿宋"/>
                <w:b w:val="0"/>
                <w:bCs w:val="0"/>
                <w:i w:val="0"/>
                <w:iCs w:val="0"/>
                <w:caps w:val="0"/>
                <w:color w:val="000000" w:themeColor="text1"/>
                <w:spacing w:val="0"/>
                <w:sz w:val="21"/>
                <w:szCs w:val="21"/>
                <w:lang w:val="en-US" w:eastAsia="zh-CN"/>
                <w14:textFill>
                  <w14:solidFill>
                    <w14:schemeClr w14:val="tx1"/>
                  </w14:solidFill>
                </w14:textFill>
              </w:rPr>
              <w:t>验全国推广</w:t>
            </w:r>
          </w:p>
          <w:p w14:paraId="4953B529">
            <w:pPr>
              <w:keepNext w:val="0"/>
              <w:keepLines w:val="0"/>
              <w:pageBreakBefore w:val="0"/>
              <w:kinsoku/>
              <w:wordWrap/>
              <w:overflowPunct/>
              <w:topLinePunct w:val="0"/>
              <w:autoSpaceDE/>
              <w:autoSpaceDN/>
              <w:bidi w:val="0"/>
              <w:adjustRightInd/>
              <w:snapToGrid w:val="0"/>
              <w:spacing w:line="360" w:lineRule="exact"/>
              <w:textAlignment w:val="auto"/>
              <w:rPr>
                <w:rFonts w:hint="eastAsia" w:ascii="华文中宋" w:hAnsi="华文中宋" w:eastAsia="华文中宋" w:cs="Times New Roman"/>
                <w:szCs w:val="21"/>
              </w:rPr>
            </w:pPr>
          </w:p>
        </w:tc>
        <w:tc>
          <w:tcPr>
            <w:tcW w:w="1962" w:type="dxa"/>
            <w:gridSpan w:val="6"/>
            <w:vAlign w:val="center"/>
          </w:tcPr>
          <w:p w14:paraId="2D1B7CA2">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参评项目</w:t>
            </w:r>
          </w:p>
          <w:p w14:paraId="1630B92D">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（刊发形式）</w:t>
            </w:r>
          </w:p>
        </w:tc>
        <w:tc>
          <w:tcPr>
            <w:tcW w:w="2693" w:type="dxa"/>
            <w:gridSpan w:val="5"/>
            <w:vAlign w:val="center"/>
          </w:tcPr>
          <w:p w14:paraId="0ABC8A62">
            <w:pPr>
              <w:keepNext w:val="0"/>
              <w:keepLines w:val="0"/>
              <w:pageBreakBefore w:val="0"/>
              <w:kinsoku/>
              <w:wordWrap/>
              <w:overflowPunct/>
              <w:topLinePunct w:val="0"/>
              <w:autoSpaceDE/>
              <w:autoSpaceDN/>
              <w:bidi w:val="0"/>
              <w:adjustRightInd/>
              <w:snapToGrid w:val="0"/>
              <w:spacing w:line="360" w:lineRule="exact"/>
              <w:textAlignment w:val="auto"/>
              <w:rPr>
                <w:rFonts w:hint="default" w:ascii="仿宋" w:hAnsi="仿宋" w:eastAsia="仿宋" w:cs="Times New Roman"/>
                <w:color w:val="000000"/>
                <w:szCs w:val="21"/>
                <w:lang w:val="en-US"/>
              </w:rPr>
            </w:pPr>
            <w:r>
              <w:rPr>
                <w:rFonts w:hint="eastAsia" w:ascii="仿宋" w:hAnsi="仿宋" w:eastAsia="仿宋" w:cs="仿宋"/>
                <w:b w:val="0"/>
                <w:bCs w:val="0"/>
                <w:i w:val="0"/>
                <w:iCs w:val="0"/>
                <w:caps w:val="0"/>
                <w:color w:val="000000" w:themeColor="text1"/>
                <w:spacing w:val="0"/>
                <w:sz w:val="21"/>
                <w:szCs w:val="21"/>
                <w:lang w:val="en-US" w:eastAsia="zh-CN"/>
                <w14:textFill>
                  <w14:solidFill>
                    <w14:schemeClr w14:val="tx1"/>
                  </w14:solidFill>
                </w14:textFill>
              </w:rPr>
              <w:t>消息（报刊）</w:t>
            </w:r>
          </w:p>
        </w:tc>
      </w:tr>
      <w:tr w14:paraId="795DF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573" w:type="dxa"/>
            <w:gridSpan w:val="3"/>
            <w:vAlign w:val="center"/>
          </w:tcPr>
          <w:p w14:paraId="6640B47A">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仿宋"/>
                <w:b w:val="0"/>
                <w:bCs w:val="0"/>
                <w:i w:val="0"/>
                <w:iCs w:val="0"/>
                <w:caps w:val="0"/>
                <w:color w:val="000000" w:themeColor="text1"/>
                <w:spacing w:val="0"/>
                <w:sz w:val="28"/>
                <w:szCs w:val="28"/>
                <w:lang w:val="en-US" w:eastAsia="zh-CN"/>
                <w14:textFill>
                  <w14:solidFill>
                    <w14:schemeClr w14:val="tx1"/>
                  </w14:solidFill>
                </w14:textFill>
              </w:rPr>
            </w:pPr>
            <w:r>
              <w:rPr>
                <w:rFonts w:hint="eastAsia" w:ascii="仿宋" w:hAnsi="仿宋" w:eastAsia="仿宋" w:cs="仿宋"/>
                <w:b w:val="0"/>
                <w:bCs w:val="0"/>
                <w:i w:val="0"/>
                <w:iCs w:val="0"/>
                <w:caps w:val="0"/>
                <w:color w:val="000000" w:themeColor="text1"/>
                <w:spacing w:val="0"/>
                <w:sz w:val="28"/>
                <w:szCs w:val="28"/>
                <w:lang w:val="en-US" w:eastAsia="zh-CN"/>
                <w14:textFill>
                  <w14:solidFill>
                    <w14:schemeClr w14:val="tx1"/>
                  </w14:solidFill>
                </w14:textFill>
              </w:rPr>
              <w:t>字数/时长</w:t>
            </w:r>
          </w:p>
        </w:tc>
        <w:tc>
          <w:tcPr>
            <w:tcW w:w="3532" w:type="dxa"/>
            <w:gridSpan w:val="9"/>
            <w:vAlign w:val="center"/>
          </w:tcPr>
          <w:p w14:paraId="22D0C038">
            <w:pPr>
              <w:keepNext w:val="0"/>
              <w:keepLines w:val="0"/>
              <w:pageBreakBefore w:val="0"/>
              <w:kinsoku/>
              <w:wordWrap/>
              <w:overflowPunct/>
              <w:topLinePunct w:val="0"/>
              <w:autoSpaceDE/>
              <w:autoSpaceDN/>
              <w:bidi w:val="0"/>
              <w:adjustRightInd/>
              <w:snapToGrid w:val="0"/>
              <w:spacing w:line="360" w:lineRule="exact"/>
              <w:textAlignment w:val="auto"/>
              <w:rPr>
                <w:rFonts w:hint="default" w:ascii="仿宋" w:hAnsi="仿宋" w:eastAsia="仿宋" w:cs="仿宋"/>
                <w:b w:val="0"/>
                <w:bCs w:val="0"/>
                <w:i w:val="0"/>
                <w:iCs w:val="0"/>
                <w:caps w:val="0"/>
                <w:color w:val="000000" w:themeColor="text1"/>
                <w:spacing w:val="0"/>
                <w:sz w:val="28"/>
                <w:szCs w:val="28"/>
                <w:lang w:val="en-US" w:eastAsia="zh-CN"/>
                <w14:textFill>
                  <w14:solidFill>
                    <w14:schemeClr w14:val="tx1"/>
                  </w14:solidFill>
                </w14:textFill>
              </w:rPr>
            </w:pPr>
            <w:r>
              <w:rPr>
                <w:rFonts w:hint="eastAsia" w:ascii="仿宋" w:hAnsi="仿宋" w:eastAsia="仿宋" w:cs="仿宋"/>
                <w:b w:val="0"/>
                <w:bCs w:val="0"/>
                <w:i w:val="0"/>
                <w:iCs w:val="0"/>
                <w:caps w:val="0"/>
                <w:color w:val="000000" w:themeColor="text1"/>
                <w:spacing w:val="0"/>
                <w:sz w:val="21"/>
                <w:szCs w:val="21"/>
                <w:lang w:val="en-US" w:eastAsia="zh-CN"/>
                <w14:textFill>
                  <w14:solidFill>
                    <w14:schemeClr w14:val="tx1"/>
                  </w14:solidFill>
                </w14:textFill>
              </w:rPr>
              <w:t>890字</w:t>
            </w:r>
          </w:p>
        </w:tc>
        <w:tc>
          <w:tcPr>
            <w:tcW w:w="1253" w:type="dxa"/>
            <w:gridSpan w:val="4"/>
            <w:vAlign w:val="center"/>
          </w:tcPr>
          <w:p w14:paraId="79972806">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体裁</w:t>
            </w:r>
          </w:p>
        </w:tc>
        <w:tc>
          <w:tcPr>
            <w:tcW w:w="3402" w:type="dxa"/>
            <w:gridSpan w:val="7"/>
            <w:vAlign w:val="center"/>
          </w:tcPr>
          <w:p w14:paraId="0321AA11">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_GB2312" w:hAnsi="仿宋" w:eastAsia="仿宋_GB2312" w:cs="Times New Roman"/>
                <w:color w:val="000000"/>
                <w:szCs w:val="21"/>
              </w:rPr>
            </w:pPr>
          </w:p>
        </w:tc>
      </w:tr>
      <w:tr w14:paraId="6FA1F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573" w:type="dxa"/>
            <w:gridSpan w:val="3"/>
            <w:vAlign w:val="center"/>
          </w:tcPr>
          <w:p w14:paraId="0DF3C2F5">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pacing w:val="-12"/>
                <w:sz w:val="28"/>
              </w:rPr>
            </w:pPr>
            <w:r>
              <w:rPr>
                <w:rFonts w:hint="eastAsia" w:ascii="华文中宋" w:hAnsi="华文中宋" w:eastAsia="华文中宋" w:cs="Times New Roman"/>
                <w:color w:val="000000"/>
                <w:spacing w:val="-12"/>
                <w:sz w:val="28"/>
              </w:rPr>
              <w:t>作  者</w:t>
            </w:r>
          </w:p>
          <w:p w14:paraId="15C51E24">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pacing w:val="-12"/>
                <w:sz w:val="24"/>
              </w:rPr>
            </w:pPr>
            <w:r>
              <w:rPr>
                <w:rFonts w:hint="eastAsia" w:ascii="华文中宋" w:hAnsi="华文中宋" w:eastAsia="华文中宋" w:cs="Times New Roman"/>
                <w:color w:val="000000"/>
                <w:spacing w:val="-12"/>
                <w:sz w:val="22"/>
              </w:rPr>
              <w:t>（主创人员）</w:t>
            </w:r>
          </w:p>
        </w:tc>
        <w:tc>
          <w:tcPr>
            <w:tcW w:w="3935" w:type="dxa"/>
            <w:gridSpan w:val="10"/>
            <w:vAlign w:val="center"/>
          </w:tcPr>
          <w:p w14:paraId="1577FC6D">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_GB2312" w:hAnsi="华文中宋" w:eastAsia="仿宋_GB2312" w:cs="Times New Roman"/>
                <w:color w:val="000000"/>
                <w:szCs w:val="21"/>
              </w:rPr>
            </w:pPr>
            <w:r>
              <w:rPr>
                <w:rFonts w:hint="eastAsia" w:ascii="仿宋" w:hAnsi="仿宋" w:eastAsia="仿宋" w:cs="仿宋"/>
                <w:i w:val="0"/>
                <w:iCs w:val="0"/>
                <w:caps w:val="0"/>
                <w:color w:val="404040"/>
                <w:spacing w:val="0"/>
                <w:sz w:val="21"/>
                <w:szCs w:val="21"/>
                <w:lang w:val="en-US" w:eastAsia="zh-CN"/>
              </w:rPr>
              <w:t>俞慧婷、汤伟芳</w:t>
            </w:r>
          </w:p>
        </w:tc>
        <w:tc>
          <w:tcPr>
            <w:tcW w:w="996" w:type="dxa"/>
            <w:gridSpan w:val="4"/>
            <w:vAlign w:val="center"/>
          </w:tcPr>
          <w:p w14:paraId="77E120A6">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编辑</w:t>
            </w:r>
          </w:p>
        </w:tc>
        <w:tc>
          <w:tcPr>
            <w:tcW w:w="3256" w:type="dxa"/>
            <w:gridSpan w:val="6"/>
            <w:vAlign w:val="center"/>
          </w:tcPr>
          <w:p w14:paraId="36D413FE">
            <w:pPr>
              <w:keepNext w:val="0"/>
              <w:keepLines w:val="0"/>
              <w:pageBreakBefore w:val="0"/>
              <w:kinsoku/>
              <w:wordWrap/>
              <w:overflowPunct/>
              <w:topLinePunct w:val="0"/>
              <w:autoSpaceDE/>
              <w:autoSpaceDN/>
              <w:bidi w:val="0"/>
              <w:adjustRightInd/>
              <w:snapToGrid w:val="0"/>
              <w:spacing w:line="360" w:lineRule="exact"/>
              <w:textAlignment w:val="auto"/>
              <w:rPr>
                <w:rFonts w:hint="default" w:ascii="仿宋" w:hAnsi="仿宋" w:eastAsia="仿宋" w:cs="Times New Roman"/>
                <w:color w:val="000000"/>
                <w:w w:val="95"/>
                <w:szCs w:val="21"/>
                <w:lang w:val="en-US" w:eastAsia="zh-CN"/>
              </w:rPr>
            </w:pPr>
            <w:r>
              <w:rPr>
                <w:rFonts w:hint="eastAsia" w:ascii="仿宋" w:hAnsi="仿宋" w:eastAsia="仿宋" w:cs="仿宋"/>
                <w:b w:val="0"/>
                <w:bCs w:val="0"/>
                <w:i w:val="0"/>
                <w:iCs w:val="0"/>
                <w:caps w:val="0"/>
                <w:color w:val="000000" w:themeColor="text1"/>
                <w:spacing w:val="0"/>
                <w:sz w:val="21"/>
                <w:szCs w:val="21"/>
                <w:lang w:val="en-US" w:eastAsia="zh-CN"/>
                <w14:textFill>
                  <w14:solidFill>
                    <w14:schemeClr w14:val="tx1"/>
                  </w14:solidFill>
                </w14:textFill>
              </w:rPr>
              <w:t>陈文革、邹志兵</w:t>
            </w:r>
          </w:p>
        </w:tc>
      </w:tr>
      <w:tr w14:paraId="24C7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573" w:type="dxa"/>
            <w:gridSpan w:val="3"/>
            <w:vAlign w:val="center"/>
          </w:tcPr>
          <w:p w14:paraId="4299C6F6">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原创单位</w:t>
            </w:r>
          </w:p>
        </w:tc>
        <w:tc>
          <w:tcPr>
            <w:tcW w:w="2677" w:type="dxa"/>
            <w:gridSpan w:val="6"/>
            <w:vAlign w:val="center"/>
          </w:tcPr>
          <w:p w14:paraId="79A9D74F">
            <w:pPr>
              <w:keepNext w:val="0"/>
              <w:keepLines w:val="0"/>
              <w:pageBreakBefore w:val="0"/>
              <w:kinsoku/>
              <w:wordWrap/>
              <w:overflowPunct/>
              <w:topLinePunct w:val="0"/>
              <w:autoSpaceDE/>
              <w:autoSpaceDN/>
              <w:bidi w:val="0"/>
              <w:adjustRightInd/>
              <w:snapToGrid w:val="0"/>
              <w:spacing w:line="360" w:lineRule="exact"/>
              <w:jc w:val="left"/>
              <w:textAlignment w:val="auto"/>
              <w:rPr>
                <w:rFonts w:hint="default" w:ascii="仿宋" w:hAnsi="仿宋" w:eastAsia="仿宋" w:cs="Times New Roman"/>
                <w:color w:val="000000"/>
                <w:szCs w:val="21"/>
                <w:lang w:val="en-US" w:eastAsia="zh-CN"/>
              </w:rPr>
            </w:pPr>
            <w:r>
              <w:rPr>
                <w:rFonts w:hint="eastAsia" w:ascii="仿宋" w:hAnsi="仿宋" w:eastAsia="仿宋" w:cs="Times New Roman"/>
                <w:color w:val="000000"/>
                <w:sz w:val="21"/>
                <w:szCs w:val="21"/>
                <w:lang w:val="en-US" w:eastAsia="zh-CN"/>
              </w:rPr>
              <w:t>鹰潭市融媒体中心</w:t>
            </w:r>
          </w:p>
        </w:tc>
        <w:tc>
          <w:tcPr>
            <w:tcW w:w="1962" w:type="dxa"/>
            <w:gridSpan w:val="6"/>
            <w:vAlign w:val="center"/>
          </w:tcPr>
          <w:p w14:paraId="201483C3">
            <w:pPr>
              <w:keepNext w:val="0"/>
              <w:keepLines w:val="0"/>
              <w:pageBreakBefore w:val="0"/>
              <w:kinsoku/>
              <w:wordWrap/>
              <w:overflowPunct/>
              <w:topLinePunct w:val="0"/>
              <w:autoSpaceDE/>
              <w:autoSpaceDN/>
              <w:bidi w:val="0"/>
              <w:adjustRightInd/>
              <w:snapToGrid w:val="0"/>
              <w:spacing w:line="360" w:lineRule="exact"/>
              <w:textAlignment w:val="auto"/>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发布端/账号/</w:t>
            </w:r>
          </w:p>
          <w:p w14:paraId="5B071A04">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_GB2312" w:hAnsi="仿宋" w:eastAsia="仿宋_GB2312" w:cs="Times New Roman"/>
                <w:color w:val="000000"/>
                <w:sz w:val="18"/>
                <w:szCs w:val="18"/>
                <w:highlight w:val="green"/>
              </w:rPr>
            </w:pPr>
            <w:r>
              <w:rPr>
                <w:rFonts w:hint="eastAsia" w:ascii="华文中宋" w:hAnsi="华文中宋" w:eastAsia="华文中宋" w:cs="Times New Roman"/>
                <w:color w:val="000000"/>
                <w:sz w:val="28"/>
                <w:szCs w:val="28"/>
              </w:rPr>
              <w:t>媒体名称</w:t>
            </w:r>
          </w:p>
        </w:tc>
        <w:tc>
          <w:tcPr>
            <w:tcW w:w="3548" w:type="dxa"/>
            <w:gridSpan w:val="8"/>
            <w:vAlign w:val="center"/>
          </w:tcPr>
          <w:p w14:paraId="108A4D03">
            <w:pPr>
              <w:keepNext w:val="0"/>
              <w:keepLines w:val="0"/>
              <w:pageBreakBefore w:val="0"/>
              <w:kinsoku/>
              <w:wordWrap/>
              <w:overflowPunct/>
              <w:topLinePunct w:val="0"/>
              <w:autoSpaceDE/>
              <w:autoSpaceDN/>
              <w:bidi w:val="0"/>
              <w:adjustRightInd/>
              <w:snapToGrid w:val="0"/>
              <w:spacing w:line="360" w:lineRule="exact"/>
              <w:textAlignment w:val="auto"/>
              <w:rPr>
                <w:rFonts w:hint="default" w:ascii="仿宋_GB2312" w:hAnsi="仿宋" w:eastAsia="仿宋_GB2312" w:cs="Times New Roman"/>
                <w:color w:val="000000"/>
                <w:sz w:val="18"/>
                <w:szCs w:val="18"/>
                <w:highlight w:val="green"/>
                <w:lang w:val="en-US" w:eastAsia="zh-CN"/>
              </w:rPr>
            </w:pPr>
            <w:r>
              <w:rPr>
                <w:rFonts w:hint="eastAsia" w:ascii="仿宋" w:hAnsi="仿宋" w:eastAsia="仿宋" w:cs="仿宋"/>
                <w:color w:val="000000"/>
                <w:sz w:val="21"/>
                <w:szCs w:val="21"/>
                <w:lang w:val="en-US" w:eastAsia="zh-CN"/>
              </w:rPr>
              <w:t>鹰潭日报</w:t>
            </w:r>
          </w:p>
        </w:tc>
      </w:tr>
      <w:tr w14:paraId="17233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2397" w:type="dxa"/>
            <w:gridSpan w:val="6"/>
            <w:vAlign w:val="center"/>
          </w:tcPr>
          <w:p w14:paraId="76E9DE7B">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刊播栏目或版面</w:t>
            </w:r>
          </w:p>
        </w:tc>
        <w:tc>
          <w:tcPr>
            <w:tcW w:w="4107" w:type="dxa"/>
            <w:gridSpan w:val="11"/>
            <w:vAlign w:val="center"/>
          </w:tcPr>
          <w:p w14:paraId="57FA05D9">
            <w:pPr>
              <w:keepNext w:val="0"/>
              <w:keepLines w:val="0"/>
              <w:pageBreakBefore w:val="0"/>
              <w:kinsoku/>
              <w:wordWrap/>
              <w:overflowPunct/>
              <w:topLinePunct w:val="0"/>
              <w:autoSpaceDE/>
              <w:autoSpaceDN/>
              <w:bidi w:val="0"/>
              <w:adjustRightInd/>
              <w:snapToGrid w:val="0"/>
              <w:spacing w:line="360" w:lineRule="exact"/>
              <w:textAlignment w:val="auto"/>
              <w:rPr>
                <w:rFonts w:hint="default" w:ascii="仿宋" w:hAnsi="仿宋" w:eastAsia="仿宋" w:cs="Times New Roman"/>
                <w:color w:val="000000"/>
                <w:szCs w:val="21"/>
                <w:lang w:val="en-US" w:eastAsia="zh-CN"/>
              </w:rPr>
            </w:pPr>
            <w:r>
              <w:rPr>
                <w:rFonts w:hint="eastAsia" w:ascii="仿宋" w:hAnsi="仿宋" w:eastAsia="仿宋" w:cs="Times New Roman"/>
                <w:color w:val="000000"/>
                <w:sz w:val="21"/>
                <w:szCs w:val="21"/>
                <w:lang w:val="en-US" w:eastAsia="zh-CN"/>
              </w:rPr>
              <w:t>一版</w:t>
            </w:r>
          </w:p>
        </w:tc>
        <w:tc>
          <w:tcPr>
            <w:tcW w:w="1418" w:type="dxa"/>
            <w:gridSpan w:val="3"/>
            <w:vAlign w:val="center"/>
          </w:tcPr>
          <w:p w14:paraId="290AF67E">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刊播日期</w:t>
            </w:r>
          </w:p>
        </w:tc>
        <w:tc>
          <w:tcPr>
            <w:tcW w:w="1838" w:type="dxa"/>
            <w:gridSpan w:val="3"/>
            <w:vAlign w:val="center"/>
          </w:tcPr>
          <w:p w14:paraId="11E7BD73">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Times New Roman"/>
                <w:color w:val="000000"/>
                <w:szCs w:val="21"/>
              </w:rPr>
            </w:pPr>
            <w:r>
              <w:rPr>
                <w:rFonts w:hint="eastAsia" w:ascii="仿宋" w:hAnsi="仿宋" w:eastAsia="仿宋" w:cs="Times New Roman"/>
                <w:color w:val="000000"/>
                <w:sz w:val="21"/>
                <w:szCs w:val="21"/>
              </w:rPr>
              <w:t>2025年</w:t>
            </w:r>
            <w:r>
              <w:rPr>
                <w:rFonts w:hint="eastAsia" w:ascii="仿宋" w:hAnsi="仿宋" w:eastAsia="仿宋" w:cs="Times New Roman"/>
                <w:color w:val="000000"/>
                <w:sz w:val="21"/>
                <w:szCs w:val="21"/>
                <w:lang w:val="en-US" w:eastAsia="zh-CN"/>
              </w:rPr>
              <w:t>9</w:t>
            </w:r>
            <w:r>
              <w:rPr>
                <w:rFonts w:hint="eastAsia" w:ascii="仿宋" w:hAnsi="仿宋" w:eastAsia="仿宋" w:cs="Times New Roman"/>
                <w:color w:val="000000"/>
                <w:sz w:val="21"/>
                <w:szCs w:val="21"/>
              </w:rPr>
              <w:t>月</w:t>
            </w:r>
            <w:r>
              <w:rPr>
                <w:rFonts w:hint="eastAsia" w:ascii="仿宋" w:hAnsi="仿宋" w:eastAsia="仿宋" w:cs="Times New Roman"/>
                <w:color w:val="000000"/>
                <w:sz w:val="21"/>
                <w:szCs w:val="21"/>
                <w:lang w:val="en-US" w:eastAsia="zh-CN"/>
              </w:rPr>
              <w:t>30</w:t>
            </w:r>
            <w:r>
              <w:rPr>
                <w:rFonts w:hint="eastAsia" w:ascii="仿宋" w:hAnsi="仿宋" w:eastAsia="仿宋" w:cs="Times New Roman"/>
                <w:color w:val="000000"/>
                <w:sz w:val="21"/>
                <w:szCs w:val="21"/>
              </w:rPr>
              <w:t>日</w:t>
            </w:r>
          </w:p>
        </w:tc>
      </w:tr>
      <w:tr w14:paraId="11395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exact"/>
          <w:jc w:val="center"/>
        </w:trPr>
        <w:tc>
          <w:tcPr>
            <w:tcW w:w="1573" w:type="dxa"/>
            <w:gridSpan w:val="3"/>
            <w:vAlign w:val="center"/>
          </w:tcPr>
          <w:p w14:paraId="39868A49">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新媒体作品网址</w:t>
            </w:r>
          </w:p>
        </w:tc>
        <w:tc>
          <w:tcPr>
            <w:tcW w:w="4639" w:type="dxa"/>
            <w:gridSpan w:val="12"/>
            <w:vAlign w:val="center"/>
          </w:tcPr>
          <w:p w14:paraId="2F534A6C">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Times New Roman"/>
                <w:color w:val="000000"/>
                <w:szCs w:val="21"/>
              </w:rPr>
            </w:pPr>
          </w:p>
        </w:tc>
        <w:tc>
          <w:tcPr>
            <w:tcW w:w="2834" w:type="dxa"/>
            <w:gridSpan w:val="7"/>
            <w:vAlign w:val="center"/>
          </w:tcPr>
          <w:p w14:paraId="05E9A3F9">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是否为“三好作品”</w:t>
            </w:r>
          </w:p>
        </w:tc>
        <w:tc>
          <w:tcPr>
            <w:tcW w:w="714" w:type="dxa"/>
            <w:vAlign w:val="center"/>
          </w:tcPr>
          <w:p w14:paraId="09EE97F0">
            <w:pPr>
              <w:keepNext w:val="0"/>
              <w:keepLines w:val="0"/>
              <w:pageBreakBefore w:val="0"/>
              <w:kinsoku/>
              <w:wordWrap/>
              <w:overflowPunct/>
              <w:topLinePunct w:val="0"/>
              <w:autoSpaceDE/>
              <w:autoSpaceDN/>
              <w:bidi w:val="0"/>
              <w:adjustRightInd/>
              <w:snapToGrid w:val="0"/>
              <w:spacing w:line="360" w:lineRule="exact"/>
              <w:textAlignment w:val="auto"/>
              <w:rPr>
                <w:rFonts w:hint="default" w:ascii="仿宋" w:hAnsi="仿宋" w:eastAsia="仿宋" w:cs="Times New Roman"/>
                <w:color w:val="000000"/>
                <w:szCs w:val="21"/>
                <w:lang w:val="en-US" w:eastAsia="zh-CN"/>
              </w:rPr>
            </w:pPr>
            <w:r>
              <w:rPr>
                <w:rFonts w:hint="eastAsia" w:ascii="仿宋" w:hAnsi="仿宋" w:eastAsia="仿宋" w:cs="Times New Roman"/>
                <w:color w:val="000000"/>
                <w:sz w:val="21"/>
                <w:szCs w:val="21"/>
                <w:lang w:val="en-US" w:eastAsia="zh-CN"/>
              </w:rPr>
              <w:t>否</w:t>
            </w:r>
          </w:p>
        </w:tc>
      </w:tr>
      <w:tr w14:paraId="3FA61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2" w:hRule="atLeast"/>
          <w:jc w:val="center"/>
        </w:trPr>
        <w:tc>
          <w:tcPr>
            <w:tcW w:w="1118" w:type="dxa"/>
            <w:gridSpan w:val="2"/>
            <w:vAlign w:val="center"/>
          </w:tcPr>
          <w:p w14:paraId="41D8C395">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p w14:paraId="1882A368">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作采</w:t>
            </w:r>
          </w:p>
          <w:p w14:paraId="41BB1096">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品编</w:t>
            </w:r>
          </w:p>
          <w:p w14:paraId="3BC50B5B">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简过</w:t>
            </w:r>
          </w:p>
          <w:p w14:paraId="509B344E">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介程</w:t>
            </w:r>
          </w:p>
          <w:p w14:paraId="04279C7B">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tc>
        <w:tc>
          <w:tcPr>
            <w:tcW w:w="8642" w:type="dxa"/>
            <w:gridSpan w:val="21"/>
            <w:vAlign w:val="center"/>
          </w:tcPr>
          <w:p w14:paraId="4D804A46">
            <w:pPr>
              <w:keepNext w:val="0"/>
              <w:keepLines w:val="0"/>
              <w:pageBreakBefore w:val="0"/>
              <w:kinsoku/>
              <w:wordWrap/>
              <w:overflowPunct/>
              <w:topLinePunct w:val="0"/>
              <w:autoSpaceDE/>
              <w:autoSpaceDN/>
              <w:bidi w:val="0"/>
              <w:adjustRightInd/>
              <w:snapToGrid w:val="0"/>
              <w:spacing w:line="360" w:lineRule="exact"/>
              <w:ind w:firstLine="394" w:firstLineChars="200"/>
              <w:textAlignment w:val="auto"/>
              <w:rPr>
                <w:rFonts w:hint="eastAsia" w:ascii="仿宋" w:hAnsi="仿宋" w:eastAsia="仿宋" w:cs="Times New Roman"/>
                <w:color w:val="000000"/>
                <w:w w:val="95"/>
                <w:sz w:val="21"/>
                <w:szCs w:val="21"/>
              </w:rPr>
            </w:pPr>
            <w:r>
              <w:rPr>
                <w:rFonts w:hint="eastAsia" w:ascii="仿宋" w:hAnsi="仿宋" w:eastAsia="仿宋" w:cs="Times New Roman"/>
                <w:color w:val="000000"/>
                <w:w w:val="95"/>
                <w:sz w:val="21"/>
                <w:szCs w:val="21"/>
              </w:rPr>
              <w:t>作品聚焦鹰潭制造业数字化转型课题，紧扣工业城市转型可复制经验</w:t>
            </w:r>
            <w:r>
              <w:rPr>
                <w:rFonts w:hint="eastAsia" w:ascii="仿宋" w:hAnsi="仿宋" w:eastAsia="仿宋" w:cs="Times New Roman"/>
                <w:color w:val="000000"/>
                <w:w w:val="95"/>
                <w:sz w:val="21"/>
                <w:szCs w:val="21"/>
                <w:lang w:val="en-US" w:eastAsia="zh-CN"/>
              </w:rPr>
              <w:t>这一</w:t>
            </w:r>
            <w:r>
              <w:rPr>
                <w:rFonts w:hint="eastAsia" w:ascii="仿宋" w:hAnsi="仿宋" w:eastAsia="仿宋" w:cs="Times New Roman"/>
                <w:color w:val="000000"/>
                <w:w w:val="95"/>
                <w:sz w:val="21"/>
                <w:szCs w:val="21"/>
              </w:rPr>
              <w:t>核心，立足江西首个全国制造业数字化转型城市篇典型案例价值开展深度采编。</w:t>
            </w:r>
          </w:p>
          <w:p w14:paraId="5D51C8A3">
            <w:pPr>
              <w:keepNext w:val="0"/>
              <w:keepLines w:val="0"/>
              <w:pageBreakBefore w:val="0"/>
              <w:kinsoku/>
              <w:wordWrap/>
              <w:overflowPunct/>
              <w:topLinePunct w:val="0"/>
              <w:autoSpaceDE/>
              <w:autoSpaceDN/>
              <w:bidi w:val="0"/>
              <w:adjustRightInd/>
              <w:snapToGrid w:val="0"/>
              <w:spacing w:line="360" w:lineRule="exact"/>
              <w:ind w:firstLine="394" w:firstLineChars="200"/>
              <w:textAlignment w:val="auto"/>
              <w:rPr>
                <w:rFonts w:hint="eastAsia" w:ascii="仿宋" w:hAnsi="仿宋" w:eastAsia="仿宋" w:cs="Times New Roman"/>
                <w:color w:val="000000"/>
                <w:w w:val="95"/>
                <w:szCs w:val="21"/>
              </w:rPr>
            </w:pPr>
            <w:r>
              <w:rPr>
                <w:rFonts w:hint="eastAsia" w:ascii="仿宋" w:hAnsi="仿宋" w:eastAsia="仿宋" w:cs="Times New Roman"/>
                <w:color w:val="000000"/>
                <w:w w:val="95"/>
                <w:sz w:val="21"/>
                <w:szCs w:val="21"/>
              </w:rPr>
              <w:t>采访中</w:t>
            </w:r>
            <w:r>
              <w:rPr>
                <w:rFonts w:hint="eastAsia" w:ascii="仿宋" w:hAnsi="仿宋" w:eastAsia="仿宋" w:cs="Times New Roman"/>
                <w:color w:val="000000"/>
                <w:w w:val="95"/>
                <w:sz w:val="21"/>
                <w:szCs w:val="21"/>
                <w:lang w:val="en-US" w:eastAsia="zh-CN"/>
              </w:rPr>
              <w:t>记者</w:t>
            </w:r>
            <w:r>
              <w:rPr>
                <w:rFonts w:hint="eastAsia" w:ascii="仿宋" w:hAnsi="仿宋" w:eastAsia="仿宋" w:cs="Times New Roman"/>
                <w:color w:val="000000"/>
                <w:w w:val="95"/>
                <w:sz w:val="21"/>
                <w:szCs w:val="21"/>
              </w:rPr>
              <w:t>深入</w:t>
            </w:r>
            <w:r>
              <w:rPr>
                <w:rFonts w:hint="eastAsia" w:ascii="仿宋" w:hAnsi="仿宋" w:eastAsia="仿宋" w:cs="Times New Roman"/>
                <w:color w:val="000000"/>
                <w:w w:val="95"/>
                <w:sz w:val="21"/>
                <w:szCs w:val="21"/>
                <w:lang w:val="en-US" w:eastAsia="zh-CN"/>
              </w:rPr>
              <w:t>市</w:t>
            </w:r>
            <w:r>
              <w:rPr>
                <w:rFonts w:hint="eastAsia" w:ascii="仿宋" w:hAnsi="仿宋" w:eastAsia="仿宋" w:cs="Times New Roman"/>
                <w:color w:val="000000"/>
                <w:w w:val="95"/>
                <w:sz w:val="21"/>
                <w:szCs w:val="21"/>
              </w:rPr>
              <w:t>工信局、园区及企业，调取一手数据，核实“数智贷”等创新工具实效。后期撰写秉持“用数据说话、以案例佐证”原则，聚焦“不愿转、不敢转、不会转”</w:t>
            </w:r>
            <w:r>
              <w:rPr>
                <w:rFonts w:hint="eastAsia" w:ascii="仿宋" w:hAnsi="仿宋" w:eastAsia="仿宋" w:cs="Times New Roman"/>
                <w:color w:val="000000"/>
                <w:w w:val="95"/>
                <w:sz w:val="21"/>
                <w:szCs w:val="21"/>
                <w:lang w:val="en-US" w:eastAsia="zh-CN"/>
              </w:rPr>
              <w:t>等</w:t>
            </w:r>
            <w:r>
              <w:rPr>
                <w:rFonts w:hint="eastAsia" w:ascii="仿宋" w:hAnsi="仿宋" w:eastAsia="仿宋" w:cs="Times New Roman"/>
                <w:color w:val="000000"/>
                <w:w w:val="95"/>
                <w:sz w:val="21"/>
                <w:szCs w:val="21"/>
              </w:rPr>
              <w:t>痛点，融合政策机制与企业实践，提炼可复制的“鹰潭模式”，形成数据翔实、案例鲜活的报道，为全国同类城市提供参考，彰显新闻服务经济发展的价值导向。</w:t>
            </w:r>
          </w:p>
        </w:tc>
      </w:tr>
      <w:tr w14:paraId="14E3E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exact"/>
          <w:jc w:val="center"/>
        </w:trPr>
        <w:tc>
          <w:tcPr>
            <w:tcW w:w="1118" w:type="dxa"/>
            <w:gridSpan w:val="2"/>
            <w:vAlign w:val="center"/>
          </w:tcPr>
          <w:p w14:paraId="3D353FA9">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社</w:t>
            </w:r>
          </w:p>
          <w:p w14:paraId="452E7CEC">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会</w:t>
            </w:r>
          </w:p>
          <w:p w14:paraId="47F89F4B">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效</w:t>
            </w:r>
          </w:p>
          <w:p w14:paraId="3E65680F">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果</w:t>
            </w:r>
          </w:p>
        </w:tc>
        <w:tc>
          <w:tcPr>
            <w:tcW w:w="8642" w:type="dxa"/>
            <w:gridSpan w:val="21"/>
            <w:vAlign w:val="center"/>
          </w:tcPr>
          <w:p w14:paraId="553D62F5">
            <w:pPr>
              <w:keepNext w:val="0"/>
              <w:keepLines w:val="0"/>
              <w:pageBreakBefore w:val="0"/>
              <w:widowControl w:val="0"/>
              <w:kinsoku/>
              <w:wordWrap/>
              <w:overflowPunct/>
              <w:topLinePunct w:val="0"/>
              <w:autoSpaceDE/>
              <w:autoSpaceDN/>
              <w:bidi w:val="0"/>
              <w:adjustRightInd/>
              <w:snapToGrid w:val="0"/>
              <w:spacing w:line="360" w:lineRule="exact"/>
              <w:textAlignment w:val="auto"/>
              <w:rPr>
                <w:rFonts w:hint="eastAsia" w:ascii="仿宋" w:hAnsi="仿宋" w:eastAsia="仿宋" w:cs="Times New Roman"/>
                <w:color w:val="000000"/>
                <w:szCs w:val="21"/>
              </w:rPr>
            </w:pPr>
            <w:r>
              <w:rPr>
                <w:rFonts w:hint="eastAsia" w:ascii="仿宋" w:hAnsi="仿宋" w:eastAsia="仿宋" w:cs="Times New Roman"/>
                <w:color w:val="000000"/>
                <w:sz w:val="21"/>
                <w:szCs w:val="21"/>
              </w:rPr>
              <w:t>1.提炼“鹰潭模式”，为全国同类工业城市产业转型提供可复制</w:t>
            </w:r>
            <w:r>
              <w:rPr>
                <w:rFonts w:hint="eastAsia" w:ascii="仿宋" w:hAnsi="仿宋" w:eastAsia="仿宋" w:cs="Times New Roman"/>
                <w:color w:val="000000"/>
                <w:sz w:val="21"/>
                <w:szCs w:val="21"/>
                <w:lang w:val="en-US" w:eastAsia="zh-CN"/>
              </w:rPr>
              <w:t>经验</w:t>
            </w:r>
            <w:r>
              <w:rPr>
                <w:rFonts w:hint="eastAsia" w:ascii="仿宋" w:hAnsi="仿宋" w:eastAsia="仿宋" w:cs="Times New Roman"/>
                <w:color w:val="000000"/>
                <w:sz w:val="21"/>
                <w:szCs w:val="21"/>
              </w:rPr>
              <w:t>，扩大地方实践影响力。2.展现转型实效，增强本土企业转型信心，吸引资本与机构参与，助力政企协同发展生态构建。3.紧扣产业升级战略，彰显鹰潭担当，提升公众对地方经济发展的认同感，营造良好舆论氛围。</w:t>
            </w:r>
          </w:p>
        </w:tc>
      </w:tr>
      <w:tr w14:paraId="0CFE3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jc w:val="center"/>
        </w:trPr>
        <w:tc>
          <w:tcPr>
            <w:tcW w:w="836" w:type="dxa"/>
            <w:vMerge w:val="restart"/>
            <w:tcBorders>
              <w:top w:val="single" w:color="auto" w:sz="4" w:space="0"/>
              <w:left w:val="single" w:color="auto" w:sz="4" w:space="0"/>
              <w:bottom w:val="single" w:color="auto" w:sz="4" w:space="0"/>
              <w:right w:val="single" w:color="auto" w:sz="4" w:space="0"/>
            </w:tcBorders>
            <w:vAlign w:val="center"/>
          </w:tcPr>
          <w:p w14:paraId="4C17687B">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olor w:val="000000"/>
                <w:sz w:val="28"/>
              </w:rPr>
            </w:pPr>
            <w:r>
              <w:rPr>
                <w:rFonts w:hint="eastAsia" w:ascii="华文中宋" w:hAnsi="华文中宋" w:eastAsia="华文中宋"/>
                <w:color w:val="000000"/>
                <w:sz w:val="28"/>
              </w:rPr>
              <w:t>传</w:t>
            </w:r>
          </w:p>
          <w:p w14:paraId="2E15C2A5">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olor w:val="000000"/>
                <w:sz w:val="28"/>
              </w:rPr>
            </w:pPr>
            <w:r>
              <w:rPr>
                <w:rFonts w:hint="eastAsia" w:ascii="华文中宋" w:hAnsi="华文中宋" w:eastAsia="华文中宋"/>
                <w:color w:val="000000"/>
                <w:sz w:val="28"/>
              </w:rPr>
              <w:t>播</w:t>
            </w:r>
          </w:p>
          <w:p w14:paraId="49F14D98">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olor w:val="000000"/>
                <w:sz w:val="28"/>
              </w:rPr>
            </w:pPr>
            <w:r>
              <w:rPr>
                <w:rFonts w:hint="eastAsia" w:ascii="华文中宋" w:hAnsi="华文中宋" w:eastAsia="华文中宋"/>
                <w:color w:val="000000"/>
                <w:sz w:val="28"/>
              </w:rPr>
              <w:t>数</w:t>
            </w:r>
          </w:p>
          <w:p w14:paraId="19ED09B4">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14:paraId="7D4840E4">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仿宋" w:hAnsi="仿宋" w:eastAsia="仿宋" w:cs="仿宋"/>
                <w:color w:val="000000"/>
                <w:spacing w:val="-10"/>
                <w:sz w:val="21"/>
                <w:szCs w:val="21"/>
              </w:rPr>
            </w:pPr>
            <w:r>
              <w:rPr>
                <w:rFonts w:hint="eastAsia" w:ascii="仿宋" w:hAnsi="仿宋" w:eastAsia="仿宋" w:cs="仿宋"/>
                <w:color w:val="000000"/>
                <w:spacing w:val="-10"/>
                <w:sz w:val="21"/>
                <w:szCs w:val="21"/>
              </w:rPr>
              <w:t>新媒体传播</w:t>
            </w:r>
            <w:r>
              <w:rPr>
                <w:rFonts w:hint="eastAsia" w:ascii="仿宋" w:hAnsi="仿宋" w:eastAsia="仿宋" w:cs="仿宋"/>
                <w:color w:val="000000"/>
                <w:sz w:val="21"/>
                <w:szCs w:val="21"/>
              </w:rPr>
              <w:t>平台网址</w:t>
            </w:r>
          </w:p>
        </w:tc>
        <w:tc>
          <w:tcPr>
            <w:tcW w:w="426" w:type="dxa"/>
            <w:tcBorders>
              <w:top w:val="single" w:color="auto" w:sz="4" w:space="0"/>
              <w:left w:val="single" w:color="auto" w:sz="4" w:space="0"/>
              <w:bottom w:val="single" w:color="auto" w:sz="4" w:space="0"/>
              <w:right w:val="single" w:color="auto" w:sz="4" w:space="0"/>
            </w:tcBorders>
            <w:vAlign w:val="center"/>
          </w:tcPr>
          <w:p w14:paraId="70CC978B">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7510" w:type="dxa"/>
            <w:gridSpan w:val="18"/>
            <w:tcBorders>
              <w:top w:val="single" w:color="auto" w:sz="4" w:space="0"/>
              <w:left w:val="single" w:color="auto" w:sz="4" w:space="0"/>
              <w:bottom w:val="single" w:color="auto" w:sz="4" w:space="0"/>
              <w:right w:val="single" w:color="auto" w:sz="4" w:space="0"/>
            </w:tcBorders>
            <w:vAlign w:val="center"/>
          </w:tcPr>
          <w:p w14:paraId="43073A89">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olor w:val="000000"/>
                <w:sz w:val="21"/>
                <w:szCs w:val="21"/>
              </w:rPr>
            </w:pPr>
            <w:r>
              <w:rPr>
                <w:rFonts w:hint="eastAsia" w:ascii="仿宋" w:hAnsi="仿宋" w:eastAsia="仿宋"/>
                <w:color w:val="000000"/>
                <w:sz w:val="21"/>
                <w:szCs w:val="21"/>
              </w:rPr>
              <w:t>https://app.ytnews.cn/webDetails/news?id=12015975&amp;tenantId=301&amp;uid=683f9d5b86092200194316f8</w:t>
            </w:r>
          </w:p>
        </w:tc>
      </w:tr>
      <w:tr w14:paraId="0857A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exact"/>
          <w:jc w:val="center"/>
        </w:trPr>
        <w:tc>
          <w:tcPr>
            <w:tcW w:w="836" w:type="dxa"/>
            <w:vMerge w:val="continue"/>
            <w:tcBorders>
              <w:top w:val="single" w:color="auto" w:sz="4" w:space="0"/>
              <w:left w:val="single" w:color="auto" w:sz="4" w:space="0"/>
              <w:bottom w:val="single" w:color="auto" w:sz="4" w:space="0"/>
              <w:right w:val="single" w:color="auto" w:sz="4" w:space="0"/>
            </w:tcBorders>
            <w:vAlign w:val="center"/>
          </w:tcPr>
          <w:p w14:paraId="07720292">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39DCA4A2">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color w:val="00000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3A868D35">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2</w:t>
            </w:r>
          </w:p>
        </w:tc>
        <w:tc>
          <w:tcPr>
            <w:tcW w:w="7510" w:type="dxa"/>
            <w:gridSpan w:val="18"/>
            <w:tcBorders>
              <w:top w:val="single" w:color="auto" w:sz="4" w:space="0"/>
              <w:left w:val="single" w:color="auto" w:sz="4" w:space="0"/>
              <w:bottom w:val="single" w:color="auto" w:sz="4" w:space="0"/>
              <w:right w:val="single" w:color="auto" w:sz="4" w:space="0"/>
            </w:tcBorders>
            <w:vAlign w:val="center"/>
          </w:tcPr>
          <w:p w14:paraId="1B2F548A">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olor w:val="000000"/>
                <w:sz w:val="21"/>
                <w:szCs w:val="21"/>
              </w:rPr>
            </w:pPr>
            <w:r>
              <w:rPr>
                <w:rFonts w:hint="eastAsia" w:ascii="仿宋" w:hAnsi="仿宋" w:eastAsia="仿宋"/>
                <w:color w:val="000000"/>
                <w:sz w:val="21"/>
                <w:szCs w:val="21"/>
              </w:rPr>
              <w:t xml:space="preserve">    </w:t>
            </w:r>
          </w:p>
        </w:tc>
      </w:tr>
      <w:tr w14:paraId="0A05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jc w:val="center"/>
        </w:trPr>
        <w:tc>
          <w:tcPr>
            <w:tcW w:w="836" w:type="dxa"/>
            <w:vMerge w:val="continue"/>
            <w:tcBorders>
              <w:top w:val="single" w:color="auto" w:sz="4" w:space="0"/>
              <w:left w:val="single" w:color="auto" w:sz="4" w:space="0"/>
              <w:bottom w:val="single" w:color="auto" w:sz="4" w:space="0"/>
              <w:right w:val="single" w:color="auto" w:sz="4" w:space="0"/>
            </w:tcBorders>
            <w:vAlign w:val="center"/>
          </w:tcPr>
          <w:p w14:paraId="7F2AE18F">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4821A02D">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仿宋" w:hAnsi="仿宋" w:eastAsia="仿宋" w:cs="仿宋"/>
                <w:color w:val="00000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6E0D5550">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3</w:t>
            </w:r>
          </w:p>
        </w:tc>
        <w:tc>
          <w:tcPr>
            <w:tcW w:w="7510" w:type="dxa"/>
            <w:gridSpan w:val="18"/>
            <w:tcBorders>
              <w:top w:val="single" w:color="auto" w:sz="4" w:space="0"/>
              <w:left w:val="single" w:color="auto" w:sz="4" w:space="0"/>
              <w:bottom w:val="single" w:color="auto" w:sz="4" w:space="0"/>
              <w:right w:val="single" w:color="auto" w:sz="4" w:space="0"/>
            </w:tcBorders>
            <w:vAlign w:val="center"/>
          </w:tcPr>
          <w:p w14:paraId="35702734">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olor w:val="000000"/>
                <w:sz w:val="21"/>
                <w:szCs w:val="21"/>
              </w:rPr>
            </w:pPr>
          </w:p>
        </w:tc>
      </w:tr>
      <w:tr w14:paraId="3FCA6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836" w:type="dxa"/>
            <w:vMerge w:val="continue"/>
            <w:tcBorders>
              <w:top w:val="single" w:color="auto" w:sz="4" w:space="0"/>
              <w:left w:val="single" w:color="auto" w:sz="4" w:space="0"/>
              <w:bottom w:val="single" w:color="auto" w:sz="4" w:space="0"/>
              <w:right w:val="single" w:color="auto" w:sz="4" w:space="0"/>
            </w:tcBorders>
            <w:vAlign w:val="center"/>
          </w:tcPr>
          <w:p w14:paraId="50B4CBC1">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华文中宋" w:hAnsi="华文中宋" w:eastAsia="华文中宋"/>
                <w:color w:val="000000"/>
                <w:sz w:val="28"/>
              </w:rPr>
            </w:pPr>
          </w:p>
        </w:tc>
        <w:tc>
          <w:tcPr>
            <w:tcW w:w="2546" w:type="dxa"/>
            <w:gridSpan w:val="6"/>
            <w:tcBorders>
              <w:top w:val="single" w:color="auto" w:sz="4" w:space="0"/>
              <w:left w:val="single" w:color="auto" w:sz="4" w:space="0"/>
              <w:bottom w:val="single" w:color="auto" w:sz="4" w:space="0"/>
              <w:right w:val="single" w:color="auto" w:sz="4" w:space="0"/>
            </w:tcBorders>
            <w:vAlign w:val="center"/>
          </w:tcPr>
          <w:p w14:paraId="1BBEDEF3">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olor w:val="000000"/>
                <w:sz w:val="21"/>
                <w:szCs w:val="21"/>
              </w:rPr>
            </w:pPr>
            <w:r>
              <w:rPr>
                <w:rFonts w:hint="eastAsia" w:ascii="仿宋" w:hAnsi="仿宋" w:eastAsia="仿宋" w:cs="仿宋"/>
                <w:color w:val="000000"/>
                <w:sz w:val="21"/>
                <w:szCs w:val="21"/>
              </w:rPr>
              <w:t>阅读量（浏览量、点击量）</w:t>
            </w:r>
          </w:p>
        </w:tc>
        <w:tc>
          <w:tcPr>
            <w:tcW w:w="1417" w:type="dxa"/>
            <w:gridSpan w:val="3"/>
            <w:tcBorders>
              <w:top w:val="single" w:color="auto" w:sz="4" w:space="0"/>
              <w:left w:val="single" w:color="auto" w:sz="4" w:space="0"/>
              <w:bottom w:val="single" w:color="auto" w:sz="4" w:space="0"/>
              <w:right w:val="single" w:color="auto" w:sz="4" w:space="0"/>
            </w:tcBorders>
            <w:vAlign w:val="center"/>
          </w:tcPr>
          <w:p w14:paraId="3B8E44A1">
            <w:pPr>
              <w:keepNext w:val="0"/>
              <w:keepLines w:val="0"/>
              <w:pageBreakBefore w:val="0"/>
              <w:kinsoku/>
              <w:wordWrap/>
              <w:overflowPunct/>
              <w:topLinePunct w:val="0"/>
              <w:autoSpaceDE/>
              <w:autoSpaceDN/>
              <w:bidi w:val="0"/>
              <w:adjustRightInd/>
              <w:snapToGrid w:val="0"/>
              <w:spacing w:line="360" w:lineRule="exact"/>
              <w:textAlignment w:val="auto"/>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2万＋</w:t>
            </w:r>
          </w:p>
        </w:tc>
        <w:tc>
          <w:tcPr>
            <w:tcW w:w="992" w:type="dxa"/>
            <w:gridSpan w:val="4"/>
            <w:tcBorders>
              <w:top w:val="single" w:color="auto" w:sz="4" w:space="0"/>
              <w:left w:val="single" w:color="auto" w:sz="4" w:space="0"/>
              <w:bottom w:val="single" w:color="auto" w:sz="4" w:space="0"/>
              <w:right w:val="single" w:color="auto" w:sz="4" w:space="0"/>
            </w:tcBorders>
            <w:vAlign w:val="center"/>
          </w:tcPr>
          <w:p w14:paraId="07200021">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olor w:val="000000"/>
                <w:sz w:val="21"/>
                <w:szCs w:val="21"/>
              </w:rPr>
            </w:pPr>
            <w:r>
              <w:rPr>
                <w:rFonts w:hint="eastAsia" w:ascii="仿宋" w:hAnsi="仿宋" w:eastAsia="仿宋" w:cs="仿宋"/>
                <w:color w:val="000000"/>
                <w:sz w:val="21"/>
                <w:szCs w:val="21"/>
              </w:rPr>
              <w:t>转载量</w:t>
            </w:r>
          </w:p>
        </w:tc>
        <w:tc>
          <w:tcPr>
            <w:tcW w:w="1420" w:type="dxa"/>
            <w:gridSpan w:val="5"/>
            <w:tcBorders>
              <w:top w:val="single" w:color="auto" w:sz="4" w:space="0"/>
              <w:left w:val="single" w:color="auto" w:sz="4" w:space="0"/>
              <w:bottom w:val="single" w:color="auto" w:sz="4" w:space="0"/>
              <w:right w:val="single" w:color="auto" w:sz="4" w:space="0"/>
            </w:tcBorders>
            <w:vAlign w:val="center"/>
          </w:tcPr>
          <w:p w14:paraId="641CA2DD">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olor w:val="000000"/>
                <w:sz w:val="21"/>
                <w:szCs w:val="21"/>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14:paraId="7E60D005">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olor w:val="000000"/>
                <w:sz w:val="21"/>
                <w:szCs w:val="21"/>
              </w:rPr>
            </w:pPr>
            <w:r>
              <w:rPr>
                <w:rFonts w:hint="eastAsia" w:ascii="仿宋" w:hAnsi="仿宋" w:eastAsia="仿宋" w:cs="仿宋"/>
                <w:color w:val="000000"/>
                <w:sz w:val="21"/>
                <w:szCs w:val="21"/>
              </w:rPr>
              <w:t>互动量</w:t>
            </w: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2743CA0F">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olor w:val="000000"/>
                <w:sz w:val="21"/>
                <w:szCs w:val="21"/>
              </w:rPr>
            </w:pPr>
          </w:p>
        </w:tc>
      </w:tr>
      <w:tr w14:paraId="0FB1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5" w:hRule="exact"/>
          <w:jc w:val="center"/>
        </w:trPr>
        <w:tc>
          <w:tcPr>
            <w:tcW w:w="1573" w:type="dxa"/>
            <w:gridSpan w:val="3"/>
            <w:tcBorders>
              <w:bottom w:val="single" w:color="auto" w:sz="4" w:space="0"/>
            </w:tcBorders>
            <w:vAlign w:val="center"/>
          </w:tcPr>
          <w:p w14:paraId="4202F36F">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推荐理由</w:t>
            </w:r>
          </w:p>
        </w:tc>
        <w:tc>
          <w:tcPr>
            <w:tcW w:w="8187" w:type="dxa"/>
            <w:gridSpan w:val="20"/>
            <w:tcBorders>
              <w:bottom w:val="single" w:color="auto" w:sz="4" w:space="0"/>
            </w:tcBorders>
            <w:vAlign w:val="center"/>
          </w:tcPr>
          <w:p w14:paraId="0E4E14E6">
            <w:pPr>
              <w:keepNext w:val="0"/>
              <w:keepLines w:val="0"/>
              <w:pageBreakBefore w:val="0"/>
              <w:widowControl w:val="0"/>
              <w:kinsoku/>
              <w:wordWrap/>
              <w:overflowPunct/>
              <w:topLinePunct w:val="0"/>
              <w:autoSpaceDE/>
              <w:autoSpaceDN/>
              <w:bidi w:val="0"/>
              <w:adjustRightInd/>
              <w:snapToGrid w:val="0"/>
              <w:spacing w:line="360" w:lineRule="exact"/>
              <w:ind w:firstLine="408" w:firstLineChars="200"/>
              <w:textAlignment w:val="auto"/>
              <w:rPr>
                <w:rFonts w:hint="eastAsia" w:ascii="仿宋" w:hAnsi="仿宋" w:eastAsia="仿宋" w:cs="Times New Roman"/>
                <w:color w:val="000000"/>
                <w:spacing w:val="-2"/>
                <w:sz w:val="21"/>
                <w:szCs w:val="21"/>
              </w:rPr>
            </w:pPr>
            <w:r>
              <w:rPr>
                <w:rFonts w:hint="eastAsia" w:ascii="仿宋" w:hAnsi="仿宋" w:eastAsia="仿宋" w:cs="Times New Roman"/>
                <w:color w:val="000000"/>
                <w:spacing w:val="-2"/>
                <w:sz w:val="21"/>
                <w:szCs w:val="21"/>
              </w:rPr>
              <w:t>该作品选题紧扣制造业数字化转型国家战略，聚焦鹰潭斩获江西首个全国制造业数字化转型城市篇典型案例的重磅题材，深度挖掘“政策—技术—金融—服务”四维发力的“鹰潭模式”，为全国同类工业城市转型提供可复制</w:t>
            </w:r>
            <w:r>
              <w:rPr>
                <w:rFonts w:hint="eastAsia" w:ascii="仿宋" w:hAnsi="仿宋" w:eastAsia="仿宋" w:cs="Times New Roman"/>
                <w:color w:val="000000"/>
                <w:spacing w:val="-2"/>
                <w:sz w:val="21"/>
                <w:szCs w:val="21"/>
                <w:lang w:val="en-US" w:eastAsia="zh-CN"/>
              </w:rPr>
              <w:t>经验</w:t>
            </w:r>
            <w:r>
              <w:rPr>
                <w:rFonts w:hint="eastAsia" w:ascii="仿宋" w:hAnsi="仿宋" w:eastAsia="仿宋" w:cs="Times New Roman"/>
                <w:color w:val="000000"/>
                <w:spacing w:val="-2"/>
                <w:sz w:val="21"/>
                <w:szCs w:val="21"/>
              </w:rPr>
              <w:t>，兼具时代价值与实践意义。</w:t>
            </w:r>
          </w:p>
          <w:p w14:paraId="0792E0A3">
            <w:pPr>
              <w:keepNext w:val="0"/>
              <w:keepLines w:val="0"/>
              <w:pageBreakBefore w:val="0"/>
              <w:widowControl w:val="0"/>
              <w:kinsoku/>
              <w:wordWrap/>
              <w:overflowPunct/>
              <w:topLinePunct w:val="0"/>
              <w:autoSpaceDE/>
              <w:autoSpaceDN/>
              <w:bidi w:val="0"/>
              <w:adjustRightInd/>
              <w:snapToGrid w:val="0"/>
              <w:spacing w:line="360" w:lineRule="exact"/>
              <w:ind w:firstLine="408" w:firstLineChars="200"/>
              <w:textAlignment w:val="auto"/>
              <w:rPr>
                <w:rFonts w:hint="eastAsia" w:ascii="仿宋" w:hAnsi="仿宋" w:eastAsia="仿宋" w:cs="Times New Roman"/>
                <w:color w:val="000000"/>
                <w:spacing w:val="-2"/>
                <w:sz w:val="21"/>
                <w:szCs w:val="21"/>
                <w:lang w:eastAsia="zh-CN"/>
              </w:rPr>
            </w:pPr>
            <w:r>
              <w:rPr>
                <w:rFonts w:hint="eastAsia" w:ascii="仿宋" w:hAnsi="仿宋" w:eastAsia="仿宋" w:cs="Times New Roman"/>
                <w:color w:val="000000"/>
                <w:spacing w:val="-2"/>
                <w:sz w:val="21"/>
                <w:szCs w:val="21"/>
              </w:rPr>
              <w:t>全文以“痛点—举措—成效”为主线，从破解企业“不愿转、不敢转、不会转”难题切入，通过翔实数据、典型案例支撑观点，政策解读与企业实践相互印证，逻辑清晰、层次分明，彰显报道专业性与权威性。作品立足鹰潭“中国铜都”产业特色，生动展现政企协同推进产业升级的实践成果，为区域经济高质量发展营造良好舆论氛围</w:t>
            </w:r>
            <w:r>
              <w:rPr>
                <w:rFonts w:hint="eastAsia" w:ascii="仿宋" w:hAnsi="仿宋" w:eastAsia="仿宋" w:cs="Times New Roman"/>
                <w:color w:val="000000"/>
                <w:spacing w:val="-2"/>
                <w:sz w:val="21"/>
                <w:szCs w:val="21"/>
                <w:lang w:eastAsia="zh-CN"/>
              </w:rPr>
              <w:t>。</w:t>
            </w:r>
          </w:p>
          <w:p w14:paraId="56A940DD">
            <w:pPr>
              <w:keepNext w:val="0"/>
              <w:keepLines w:val="0"/>
              <w:pageBreakBefore w:val="0"/>
              <w:widowControl w:val="0"/>
              <w:kinsoku/>
              <w:wordWrap/>
              <w:overflowPunct/>
              <w:topLinePunct w:val="0"/>
              <w:autoSpaceDE/>
              <w:autoSpaceDN/>
              <w:bidi w:val="0"/>
              <w:adjustRightInd/>
              <w:snapToGrid w:val="0"/>
              <w:spacing w:line="360" w:lineRule="exact"/>
              <w:ind w:firstLine="2244" w:firstLineChars="1100"/>
              <w:textAlignment w:val="auto"/>
              <w:rPr>
                <w:rFonts w:hint="eastAsia" w:ascii="仿宋" w:hAnsi="仿宋" w:eastAsia="仿宋" w:cs="Times New Roman"/>
                <w:color w:val="000000"/>
                <w:sz w:val="21"/>
                <w:szCs w:val="21"/>
              </w:rPr>
            </w:pPr>
            <w:r>
              <w:rPr>
                <w:rFonts w:hint="eastAsia" w:ascii="仿宋" w:hAnsi="仿宋" w:eastAsia="仿宋" w:cs="Times New Roman"/>
                <w:color w:val="000000"/>
                <w:spacing w:val="-2"/>
                <w:sz w:val="21"/>
                <w:szCs w:val="21"/>
              </w:rPr>
              <w:t>单位主要负责人签名：</w:t>
            </w:r>
            <w:r>
              <w:rPr>
                <w:rFonts w:hint="eastAsia" w:ascii="仿宋" w:hAnsi="仿宋" w:eastAsia="仿宋" w:cs="Times New Roman"/>
                <w:color w:val="000000"/>
                <w:spacing w:val="-2"/>
                <w:sz w:val="21"/>
                <w:szCs w:val="21"/>
                <w:lang w:val="en-US" w:eastAsia="zh-CN"/>
              </w:rPr>
              <w:t xml:space="preserve">                  </w:t>
            </w:r>
            <w:r>
              <w:rPr>
                <w:rFonts w:hint="eastAsia" w:ascii="仿宋" w:hAnsi="仿宋" w:eastAsia="仿宋" w:cs="Times New Roman"/>
                <w:color w:val="000000"/>
                <w:sz w:val="21"/>
                <w:szCs w:val="21"/>
              </w:rPr>
              <w:t>（盖单位公章）</w:t>
            </w:r>
          </w:p>
          <w:p w14:paraId="77F7DFC6">
            <w:pPr>
              <w:keepNext w:val="0"/>
              <w:keepLines w:val="0"/>
              <w:pageBreakBefore w:val="0"/>
              <w:widowControl w:val="0"/>
              <w:kinsoku/>
              <w:wordWrap/>
              <w:overflowPunct/>
              <w:topLinePunct w:val="0"/>
              <w:autoSpaceDE/>
              <w:autoSpaceDN/>
              <w:bidi w:val="0"/>
              <w:adjustRightInd/>
              <w:snapToGrid w:val="0"/>
              <w:spacing w:line="360" w:lineRule="exact"/>
              <w:textAlignment w:val="auto"/>
              <w:rPr>
                <w:rFonts w:hint="eastAsia" w:ascii="仿宋" w:hAnsi="仿宋" w:eastAsia="仿宋" w:cs="Times New Roman"/>
                <w:color w:val="000000"/>
                <w:szCs w:val="21"/>
              </w:rPr>
            </w:pPr>
            <w:r>
              <w:rPr>
                <w:rFonts w:hint="eastAsia" w:ascii="仿宋" w:hAnsi="仿宋" w:eastAsia="仿宋" w:cs="Times New Roman"/>
                <w:color w:val="000000"/>
                <w:sz w:val="21"/>
                <w:szCs w:val="21"/>
              </w:rPr>
              <w:t xml:space="preserve">                                        </w:t>
            </w:r>
            <w:r>
              <w:rPr>
                <w:rFonts w:hint="eastAsia" w:ascii="仿宋" w:hAnsi="仿宋" w:eastAsia="仿宋" w:cs="Times New Roman"/>
                <w:color w:val="000000"/>
                <w:szCs w:val="21"/>
              </w:rPr>
              <w:t xml:space="preserve">              </w:t>
            </w:r>
            <w:r>
              <w:rPr>
                <w:rFonts w:hint="eastAsia" w:ascii="仿宋" w:hAnsi="仿宋" w:eastAsia="仿宋" w:cs="Times New Roman"/>
                <w:color w:val="000000"/>
                <w:sz w:val="21"/>
                <w:szCs w:val="21"/>
                <w:lang w:val="en-US" w:eastAsia="zh-CN"/>
              </w:rPr>
              <w:t>2026</w:t>
            </w:r>
            <w:r>
              <w:rPr>
                <w:rFonts w:ascii="仿宋" w:hAnsi="仿宋" w:eastAsia="仿宋" w:cs="Times New Roman"/>
                <w:color w:val="000000"/>
                <w:sz w:val="21"/>
                <w:szCs w:val="21"/>
              </w:rPr>
              <w:t>年</w:t>
            </w:r>
            <w:r>
              <w:rPr>
                <w:rFonts w:hint="eastAsia" w:ascii="仿宋" w:hAnsi="仿宋" w:eastAsia="仿宋" w:cs="Times New Roman"/>
                <w:color w:val="000000"/>
                <w:sz w:val="21"/>
                <w:szCs w:val="21"/>
                <w:lang w:val="en-US" w:eastAsia="zh-CN"/>
              </w:rPr>
              <w:t>1</w:t>
            </w:r>
            <w:r>
              <w:rPr>
                <w:rFonts w:hint="eastAsia" w:ascii="仿宋" w:hAnsi="仿宋" w:eastAsia="仿宋" w:cs="Times New Roman"/>
                <w:color w:val="000000"/>
                <w:sz w:val="21"/>
                <w:szCs w:val="21"/>
              </w:rPr>
              <w:t>月</w:t>
            </w:r>
            <w:r>
              <w:rPr>
                <w:rFonts w:hint="eastAsia" w:ascii="仿宋" w:hAnsi="仿宋" w:eastAsia="仿宋" w:cs="Times New Roman"/>
                <w:color w:val="000000"/>
                <w:sz w:val="21"/>
                <w:szCs w:val="21"/>
                <w:lang w:val="en-US" w:eastAsia="zh-CN"/>
              </w:rPr>
              <w:t>5</w:t>
            </w:r>
            <w:r>
              <w:rPr>
                <w:rFonts w:hint="eastAsia" w:ascii="仿宋" w:hAnsi="仿宋" w:eastAsia="仿宋" w:cs="Times New Roman"/>
                <w:color w:val="000000"/>
                <w:sz w:val="21"/>
                <w:szCs w:val="21"/>
              </w:rPr>
              <w:t>日</w:t>
            </w:r>
          </w:p>
        </w:tc>
      </w:tr>
      <w:tr w14:paraId="4FBCB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exact"/>
          <w:jc w:val="center"/>
        </w:trPr>
        <w:tc>
          <w:tcPr>
            <w:tcW w:w="1573" w:type="dxa"/>
            <w:gridSpan w:val="3"/>
            <w:tcBorders>
              <w:top w:val="single" w:color="auto" w:sz="4" w:space="0"/>
              <w:bottom w:val="single" w:color="auto" w:sz="4" w:space="0"/>
            </w:tcBorders>
            <w:vAlign w:val="center"/>
          </w:tcPr>
          <w:p w14:paraId="2DD81F23">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作者</w:t>
            </w:r>
          </w:p>
        </w:tc>
        <w:tc>
          <w:tcPr>
            <w:tcW w:w="2258" w:type="dxa"/>
            <w:gridSpan w:val="5"/>
            <w:tcBorders>
              <w:top w:val="single" w:color="auto" w:sz="4" w:space="0"/>
              <w:bottom w:val="single" w:color="auto" w:sz="4" w:space="0"/>
            </w:tcBorders>
            <w:vAlign w:val="center"/>
          </w:tcPr>
          <w:p w14:paraId="6526BA54">
            <w:pPr>
              <w:keepNext w:val="0"/>
              <w:keepLines w:val="0"/>
              <w:pageBreakBefore w:val="0"/>
              <w:kinsoku/>
              <w:wordWrap/>
              <w:overflowPunct/>
              <w:topLinePunct w:val="0"/>
              <w:autoSpaceDE/>
              <w:autoSpaceDN/>
              <w:bidi w:val="0"/>
              <w:adjustRightInd/>
              <w:snapToGrid w:val="0"/>
              <w:spacing w:line="360" w:lineRule="exact"/>
              <w:textAlignment w:val="auto"/>
              <w:rPr>
                <w:rFonts w:hint="default" w:ascii="仿宋" w:hAnsi="仿宋" w:eastAsia="仿宋" w:cs="Times New Roman"/>
                <w:color w:val="000000"/>
                <w:sz w:val="32"/>
                <w:szCs w:val="21"/>
                <w:lang w:val="en-US" w:eastAsia="zh-CN"/>
              </w:rPr>
            </w:pPr>
            <w:r>
              <w:rPr>
                <w:rFonts w:hint="eastAsia" w:ascii="仿宋" w:hAnsi="仿宋" w:eastAsia="仿宋" w:cs="Times New Roman"/>
                <w:color w:val="000000"/>
                <w:sz w:val="21"/>
                <w:szCs w:val="21"/>
                <w:lang w:val="en-US" w:eastAsia="zh-CN"/>
              </w:rPr>
              <w:t>俞慧婷</w:t>
            </w:r>
          </w:p>
        </w:tc>
        <w:tc>
          <w:tcPr>
            <w:tcW w:w="1200" w:type="dxa"/>
            <w:gridSpan w:val="3"/>
            <w:tcBorders>
              <w:top w:val="single" w:color="auto" w:sz="4" w:space="0"/>
              <w:bottom w:val="single" w:color="auto" w:sz="4" w:space="0"/>
            </w:tcBorders>
            <w:vAlign w:val="center"/>
          </w:tcPr>
          <w:p w14:paraId="2BED2562">
            <w:pPr>
              <w:keepNext w:val="0"/>
              <w:keepLines w:val="0"/>
              <w:pageBreakBefore w:val="0"/>
              <w:kinsoku/>
              <w:wordWrap/>
              <w:overflowPunct/>
              <w:topLinePunct w:val="0"/>
              <w:autoSpaceDE/>
              <w:autoSpaceDN/>
              <w:bidi w:val="0"/>
              <w:adjustRightInd/>
              <w:snapToGrid w:val="0"/>
              <w:spacing w:line="360" w:lineRule="exact"/>
              <w:textAlignment w:val="auto"/>
              <w:rPr>
                <w:rFonts w:hint="eastAsia" w:ascii="仿宋" w:hAnsi="仿宋" w:eastAsia="仿宋" w:cs="Times New Roman"/>
                <w:color w:val="000000"/>
                <w:sz w:val="32"/>
                <w:szCs w:val="21"/>
              </w:rPr>
            </w:pPr>
            <w:r>
              <w:rPr>
                <w:rFonts w:hint="eastAsia" w:ascii="华文中宋" w:hAnsi="华文中宋" w:eastAsia="华文中宋" w:cs="Times New Roman"/>
                <w:color w:val="000000"/>
                <w:sz w:val="28"/>
              </w:rPr>
              <w:t>手机</w:t>
            </w:r>
          </w:p>
        </w:tc>
        <w:tc>
          <w:tcPr>
            <w:tcW w:w="4729" w:type="dxa"/>
            <w:gridSpan w:val="12"/>
            <w:tcBorders>
              <w:top w:val="single" w:color="auto" w:sz="4" w:space="0"/>
              <w:bottom w:val="single" w:color="auto" w:sz="4" w:space="0"/>
            </w:tcBorders>
            <w:vAlign w:val="center"/>
          </w:tcPr>
          <w:p w14:paraId="01A9D070">
            <w:pPr>
              <w:keepNext w:val="0"/>
              <w:keepLines w:val="0"/>
              <w:pageBreakBefore w:val="0"/>
              <w:kinsoku/>
              <w:wordWrap/>
              <w:overflowPunct/>
              <w:topLinePunct w:val="0"/>
              <w:autoSpaceDE/>
              <w:autoSpaceDN/>
              <w:bidi w:val="0"/>
              <w:adjustRightInd/>
              <w:snapToGrid w:val="0"/>
              <w:spacing w:line="360" w:lineRule="exact"/>
              <w:textAlignment w:val="auto"/>
              <w:rPr>
                <w:rFonts w:hint="default" w:ascii="仿宋" w:hAnsi="仿宋" w:eastAsia="仿宋" w:cs="Times New Roman"/>
                <w:color w:val="000000"/>
                <w:szCs w:val="21"/>
                <w:lang w:val="en-US" w:eastAsia="zh-CN"/>
              </w:rPr>
            </w:pPr>
            <w:r>
              <w:rPr>
                <w:rFonts w:hint="eastAsia" w:ascii="仿宋" w:hAnsi="仿宋" w:eastAsia="仿宋" w:cs="Times New Roman"/>
                <w:color w:val="000000"/>
                <w:sz w:val="21"/>
                <w:szCs w:val="21"/>
                <w:lang w:val="en-US" w:eastAsia="zh-CN"/>
              </w:rPr>
              <w:t>13677011751</w:t>
            </w:r>
          </w:p>
        </w:tc>
      </w:tr>
    </w:tbl>
    <w:p w14:paraId="0BF79FD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lang w:val="en-US" w:eastAsia="zh-CN"/>
        </w:rPr>
      </w:pPr>
      <w:r>
        <w:rPr>
          <w:rFonts w:hint="eastAsia" w:ascii="仿宋" w:hAnsi="仿宋" w:eastAsia="仿宋"/>
          <w:lang w:val="en-US" w:eastAsia="zh-CN"/>
        </w:rPr>
        <w:t xml:space="preserve"> </w:t>
      </w:r>
    </w:p>
    <w:p w14:paraId="2789B67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lang w:val="en-US" w:eastAsia="zh-CN"/>
        </w:rPr>
      </w:pPr>
    </w:p>
    <w:p w14:paraId="2E618855">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 w:hAnsi="仿宋" w:eastAsia="仿宋"/>
          <w:lang w:val="en-US" w:eastAsia="zh-CN"/>
        </w:rPr>
      </w:pPr>
    </w:p>
    <w:p w14:paraId="13E9DD4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lang w:eastAsia="zh-CN"/>
        </w:rPr>
      </w:pPr>
      <w:r>
        <w:rPr>
          <w:rFonts w:hint="eastAsia" w:ascii="仿宋" w:hAnsi="仿宋" w:eastAsia="仿宋"/>
          <w:lang w:eastAsia="zh-CN"/>
        </w:rPr>
        <w:drawing>
          <wp:inline distT="0" distB="0" distL="114300" distR="114300">
            <wp:extent cx="5275580" cy="3247390"/>
            <wp:effectExtent l="0" t="0" r="1270" b="10160"/>
            <wp:docPr id="1" name="图片 1" descr="四维发力破局产业转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四维发力破局产业转型"/>
                    <pic:cNvPicPr>
                      <a:picLocks noChangeAspect="1"/>
                    </pic:cNvPicPr>
                  </pic:nvPicPr>
                  <pic:blipFill>
                    <a:blip r:embed="rId4"/>
                    <a:stretch>
                      <a:fillRect/>
                    </a:stretch>
                  </pic:blipFill>
                  <pic:spPr>
                    <a:xfrm>
                      <a:off x="0" y="0"/>
                      <a:ext cx="5275580" cy="3247390"/>
                    </a:xfrm>
                    <a:prstGeom prst="rect">
                      <a:avLst/>
                    </a:prstGeom>
                  </pic:spPr>
                </pic:pic>
              </a:graphicData>
            </a:graphic>
          </wp:inline>
        </w:drawing>
      </w:r>
    </w:p>
    <w:p w14:paraId="2F8284F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lang w:eastAsia="zh-CN"/>
        </w:rPr>
      </w:pPr>
    </w:p>
    <w:p w14:paraId="39FA641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lang w:eastAsia="zh-CN"/>
        </w:rPr>
      </w:pPr>
    </w:p>
    <w:p w14:paraId="18C8998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lang w:eastAsia="zh-CN"/>
        </w:rPr>
      </w:pPr>
    </w:p>
    <w:p w14:paraId="1661D30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lang w:eastAsia="zh-CN"/>
        </w:rPr>
      </w:pPr>
    </w:p>
    <w:p w14:paraId="528DAFF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lang w:eastAsia="zh-CN"/>
        </w:rPr>
      </w:pPr>
    </w:p>
    <w:p w14:paraId="7548FD4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lang w:eastAsia="zh-CN"/>
        </w:rPr>
      </w:pPr>
    </w:p>
    <w:p w14:paraId="059F0C7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lang w:eastAsia="zh-CN"/>
        </w:rPr>
      </w:pPr>
    </w:p>
    <w:p w14:paraId="73138D8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lang w:eastAsia="zh-CN"/>
        </w:rPr>
      </w:pPr>
    </w:p>
    <w:p w14:paraId="6B806CE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lang w:eastAsia="zh-CN"/>
        </w:rPr>
      </w:pPr>
    </w:p>
    <w:p w14:paraId="54A8578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lang w:eastAsia="zh-CN"/>
        </w:rPr>
      </w:pPr>
    </w:p>
    <w:p w14:paraId="54909FF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lang w:eastAsia="zh-CN"/>
        </w:rPr>
      </w:pPr>
    </w:p>
    <w:p w14:paraId="0BBD02F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lang w:eastAsia="zh-CN"/>
        </w:rPr>
      </w:pPr>
    </w:p>
    <w:p w14:paraId="603E610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lang w:eastAsia="zh-CN"/>
        </w:rPr>
      </w:pPr>
    </w:p>
    <w:p w14:paraId="27C6DC6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lang w:eastAsia="zh-CN"/>
        </w:rPr>
      </w:pPr>
    </w:p>
    <w:p w14:paraId="3D8888DC">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lang w:eastAsia="zh-CN"/>
        </w:rPr>
      </w:pPr>
    </w:p>
    <w:p w14:paraId="5D9CB858">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lang w:eastAsia="zh-CN"/>
        </w:rPr>
      </w:pPr>
    </w:p>
    <w:p w14:paraId="330F990C">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lang w:val="en-US" w:eastAsia="zh-CN"/>
        </w:rPr>
      </w:pPr>
      <w:r>
        <w:rPr>
          <w:rFonts w:hint="eastAsia" w:ascii="仿宋" w:hAnsi="仿宋" w:eastAsia="仿宋" w:cs="CESI仿宋-GB2312"/>
          <w:sz w:val="28"/>
          <w:szCs w:val="28"/>
          <w:lang w:eastAsia="zh-CN"/>
        </w:rPr>
        <w:t>消息</w:t>
      </w:r>
    </w:p>
    <w:p w14:paraId="6D941FD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lang w:eastAsia="zh-CN"/>
        </w:rPr>
      </w:pPr>
    </w:p>
    <w:p w14:paraId="755F07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“四维发力”破局产业转型</w:t>
      </w:r>
    </w:p>
    <w:p w14:paraId="21F1A9C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sz w:val="28"/>
          <w:szCs w:val="28"/>
          <w:lang w:eastAsia="zh-CN"/>
        </w:rPr>
      </w:pPr>
      <w:r>
        <w:rPr>
          <w:rFonts w:hint="eastAsia" w:ascii="仿宋" w:hAnsi="仿宋" w:eastAsia="仿宋"/>
          <w:sz w:val="28"/>
          <w:szCs w:val="28"/>
          <w:lang w:eastAsia="zh-CN"/>
        </w:rPr>
        <w:t>鹰潭制造业数转经验全国推广</w:t>
      </w:r>
    </w:p>
    <w:p w14:paraId="173541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sz w:val="24"/>
          <w:szCs w:val="24"/>
          <w:lang w:eastAsia="zh-CN"/>
        </w:rPr>
      </w:pPr>
      <w:r>
        <w:rPr>
          <w:rFonts w:hint="eastAsia" w:ascii="仿宋" w:hAnsi="仿宋" w:eastAsia="仿宋"/>
          <w:sz w:val="24"/>
          <w:szCs w:val="24"/>
          <w:lang w:eastAsia="zh-CN"/>
        </w:rPr>
        <w:t>作者：俞慧婷、汤伟芳</w:t>
      </w:r>
    </w:p>
    <w:p w14:paraId="1C0825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sz w:val="24"/>
          <w:szCs w:val="24"/>
          <w:lang w:eastAsia="zh-CN"/>
        </w:rPr>
      </w:pPr>
      <w:r>
        <w:rPr>
          <w:rFonts w:hint="eastAsia" w:ascii="仿宋" w:hAnsi="仿宋" w:eastAsia="仿宋"/>
          <w:sz w:val="24"/>
          <w:szCs w:val="24"/>
          <w:lang w:eastAsia="zh-CN"/>
        </w:rPr>
        <w:t>编辑：陈文革、邹志兵</w:t>
      </w:r>
    </w:p>
    <w:p w14:paraId="3AFBD46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lang w:eastAsia="zh-CN"/>
        </w:rPr>
      </w:pPr>
    </w:p>
    <w:p w14:paraId="515C8B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lang w:eastAsia="zh-CN"/>
        </w:rPr>
      </w:pPr>
      <w:r>
        <w:rPr>
          <w:rFonts w:hint="eastAsia" w:ascii="仿宋" w:hAnsi="仿宋" w:eastAsia="仿宋"/>
          <w:sz w:val="28"/>
          <w:szCs w:val="28"/>
          <w:lang w:eastAsia="zh-CN"/>
        </w:rPr>
        <w:t xml:space="preserve">    近日，在合肥举办的2025世界制造业大会上，工信部发布年度全国制造业数字化转型典型案例，鹰潭申报的《强化生态要素创新，实现鹰潭产业集群式数字化转型跃迁》成功入选，系近年来江西省首个入围的城市篇案例。这份“国字号”认可背后，是鹰潭以“政策—技术—金融—服务”四维发力破解工业城市产业转型难题的实践，其形成的“鹰潭模式”正为全国同类工业城市提供可复制经验。</w:t>
      </w:r>
    </w:p>
    <w:p w14:paraId="457CEEF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lang w:eastAsia="zh-CN"/>
        </w:rPr>
      </w:pPr>
      <w:r>
        <w:rPr>
          <w:rFonts w:hint="eastAsia" w:ascii="仿宋" w:hAnsi="仿宋" w:eastAsia="仿宋"/>
          <w:sz w:val="28"/>
          <w:szCs w:val="28"/>
          <w:lang w:eastAsia="zh-CN"/>
        </w:rPr>
        <w:t>　　作为全国最大铜加工基地，鹰潭聚集300余家铜加工企业，产品覆盖全球90%以上铜及铜合金牌号，但却曾受供应链协同弱、企业智能化水平低、转型资源不足等问题制约。为此，鹰潭以数字化转型为工业高质量发展核心抓手，构建起一套精准高效的转型体系。</w:t>
      </w:r>
    </w:p>
    <w:p w14:paraId="63A9D2E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lang w:eastAsia="zh-CN"/>
        </w:rPr>
      </w:pPr>
      <w:r>
        <w:rPr>
          <w:rFonts w:hint="eastAsia" w:ascii="仿宋" w:hAnsi="仿宋" w:eastAsia="仿宋"/>
          <w:sz w:val="28"/>
          <w:szCs w:val="28"/>
          <w:lang w:eastAsia="zh-CN"/>
        </w:rPr>
        <w:t>　　</w:t>
      </w:r>
      <w:r>
        <w:rPr>
          <w:rFonts w:hint="eastAsia" w:ascii="仿宋" w:hAnsi="仿宋" w:eastAsia="仿宋"/>
          <w:b w:val="0"/>
          <w:bCs w:val="0"/>
          <w:sz w:val="28"/>
          <w:szCs w:val="28"/>
          <w:lang w:eastAsia="zh-CN"/>
        </w:rPr>
        <w:t>金融赋能解“不愿转”之困。</w:t>
      </w:r>
      <w:r>
        <w:rPr>
          <w:rFonts w:hint="eastAsia" w:ascii="仿宋" w:hAnsi="仿宋" w:eastAsia="仿宋"/>
          <w:sz w:val="28"/>
          <w:szCs w:val="28"/>
          <w:lang w:eastAsia="zh-CN"/>
        </w:rPr>
        <w:t>鹰潭出台专项政策，创新“铜票通”“数智贷”等工具，设立1亿元工业创新券、10亿元工创贷、50亿元现代产业引导基金。截至目前，“数智贷”累计放款3.4亿元，省级“数转贷”首笔贷款落地广信新能源；钲旺科技获千万级贷款支持后，年营收从不足1亿元跃升至7亿余元，成为行业标杆。</w:t>
      </w:r>
    </w:p>
    <w:p w14:paraId="26BB58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lang w:eastAsia="zh-CN"/>
        </w:rPr>
      </w:pPr>
      <w:r>
        <w:rPr>
          <w:rFonts w:hint="eastAsia" w:ascii="仿宋" w:hAnsi="仿宋" w:eastAsia="仿宋"/>
          <w:sz w:val="28"/>
          <w:szCs w:val="28"/>
          <w:lang w:eastAsia="zh-CN"/>
        </w:rPr>
        <w:t>　　</w:t>
      </w:r>
      <w:r>
        <w:rPr>
          <w:rFonts w:hint="eastAsia" w:ascii="仿宋" w:hAnsi="仿宋" w:eastAsia="仿宋"/>
          <w:b w:val="0"/>
          <w:bCs w:val="0"/>
          <w:sz w:val="28"/>
          <w:szCs w:val="28"/>
          <w:lang w:eastAsia="zh-CN"/>
        </w:rPr>
        <w:t>高位联动消“不敢转”之忧。</w:t>
      </w:r>
      <w:r>
        <w:rPr>
          <w:rFonts w:hint="eastAsia" w:ascii="仿宋" w:hAnsi="仿宋" w:eastAsia="仿宋"/>
          <w:sz w:val="28"/>
          <w:szCs w:val="28"/>
          <w:lang w:eastAsia="zh-CN"/>
        </w:rPr>
        <w:t>建立“市级主导、县级主责、园区主推、企业主体”四级联动机制，配套“党委领导、政府主抓、部门指导、企业主责、服务商协同”议事机制，通过周更新、月调度推进工作。2024年，鹰潭成功承办全省工业强省建设推进大会暨制造业数字化转型现场会，经验获全省推广。</w:t>
      </w:r>
    </w:p>
    <w:p w14:paraId="790681B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lang w:eastAsia="zh-CN"/>
        </w:rPr>
      </w:pPr>
      <w:r>
        <w:rPr>
          <w:rFonts w:hint="eastAsia" w:ascii="仿宋" w:hAnsi="仿宋" w:eastAsia="仿宋"/>
          <w:sz w:val="28"/>
          <w:szCs w:val="28"/>
          <w:lang w:eastAsia="zh-CN"/>
        </w:rPr>
        <w:t>　</w:t>
      </w:r>
      <w:r>
        <w:rPr>
          <w:rFonts w:hint="eastAsia" w:ascii="仿宋" w:hAnsi="仿宋" w:eastAsia="仿宋"/>
          <w:b w:val="0"/>
          <w:bCs w:val="0"/>
          <w:sz w:val="28"/>
          <w:szCs w:val="28"/>
          <w:lang w:eastAsia="zh-CN"/>
        </w:rPr>
        <w:t>　服务升级破“不会转”之难。</w:t>
      </w:r>
      <w:r>
        <w:rPr>
          <w:rFonts w:hint="eastAsia" w:ascii="仿宋" w:hAnsi="仿宋" w:eastAsia="仿宋"/>
          <w:sz w:val="28"/>
          <w:szCs w:val="28"/>
          <w:lang w:eastAsia="zh-CN"/>
        </w:rPr>
        <w:t>打造“数字化转型促进中心+数字化诊所+数字专员”三级服务体系，汇聚28家专业机构，公开遴选48款“小快轻准”解决方案，实现县级数字化诊所全覆盖。目前已完成610家企业入企诊断、485家企业数字化改造，106家L6及以上企业进入改造后贯标公示环节，占全市规上工业企业17.7%，居全省首位。</w:t>
      </w:r>
    </w:p>
    <w:p w14:paraId="7C3B0D54">
      <w:pPr>
        <w:keepNext w:val="0"/>
        <w:keepLines w:val="0"/>
        <w:pageBreakBefore w:val="0"/>
        <w:kinsoku/>
        <w:wordWrap/>
        <w:overflowPunct/>
        <w:topLinePunct w:val="0"/>
        <w:autoSpaceDE/>
        <w:autoSpaceDN/>
        <w:bidi w:val="0"/>
        <w:adjustRightInd/>
        <w:snapToGrid/>
        <w:spacing w:line="560" w:lineRule="exact"/>
        <w:textAlignment w:val="auto"/>
      </w:pPr>
      <w:r>
        <w:rPr>
          <w:rFonts w:hint="eastAsia" w:ascii="仿宋" w:hAnsi="仿宋" w:eastAsia="仿宋"/>
          <w:sz w:val="28"/>
          <w:szCs w:val="28"/>
          <w:lang w:eastAsia="zh-CN"/>
        </w:rPr>
        <w:t>　　多维发力下，鹰潭数字化转型成效显著：2025年，23家企业上榜全省先进级智能工厂名单，数量全省第一；“铜产业大脑”入选首批省级“产业大脑”，接入200余家铜企业，累计授信18亿元；江铜贵溪冶炼厂入围首批省级“数字领航”企业名单，鑫铂瑞入选工信部2024年实数融合典型案例名单。一批标杆企业带动产业链整体跃迁，全市制造业数字化转型浪潮奔涌。</w:t>
      </w:r>
    </w:p>
    <w:sectPr>
      <w:pgSz w:w="11906" w:h="16838"/>
      <w:pgMar w:top="1440" w:right="1797" w:bottom="1440" w:left="1797" w:header="851" w:footer="992" w:gutter="0"/>
      <w:cols w:space="0" w:num="1"/>
      <w:rtlGutter w:val="0"/>
      <w:docGrid w:type="linesAndChars" w:linePitch="428" w:charSpace="-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39"/>
  <w:drawingGridVerticalSpacing w:val="214"/>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5MTJiNThlZjQ3NzQxNWJmMjFkMTgzYjE0ZjEwMTUifQ=="/>
  </w:docVars>
  <w:rsids>
    <w:rsidRoot w:val="00000000"/>
    <w:rsid w:val="00906763"/>
    <w:rsid w:val="2B96050B"/>
    <w:rsid w:val="38484E3E"/>
    <w:rsid w:val="3FBF2A97"/>
    <w:rsid w:val="4E8F70BB"/>
    <w:rsid w:val="542E50B9"/>
    <w:rsid w:val="61237359"/>
    <w:rsid w:val="727C2D17"/>
    <w:rsid w:val="78CB753F"/>
    <w:rsid w:val="78FEDBDD"/>
    <w:rsid w:val="D76F5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8"/>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1843</Words>
  <Characters>1993</Characters>
  <Lines>0</Lines>
  <Paragraphs>0</Paragraphs>
  <TotalTime>1</TotalTime>
  <ScaleCrop>false</ScaleCrop>
  <LinksUpToDate>false</LinksUpToDate>
  <CharactersWithSpaces>2085</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2026-01-14T05:24:00Z</dcterms:created>
  <dc:creator>Administrator</dc:creator>
  <cp:lastModifiedBy>牧风</cp:lastModifiedBy>
  <dcterms:modified xsi:type="dcterms:W3CDTF">2026-01-18T10:14:48Z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2052-12.8.2.1115</vt:lpwstr>
  </property>
  <property fmtid="{D5CDD505-2E9C-101B-9397-08002B2CF9AE}" pid="3" name="KSOTemplateDocerSaveRecord">
    <vt:lpwstr>eyJoZGlkIjoiMGQ1NzBhNzEzMzI3N2ZjOWU0YmEwZDk5NmZkMTkyYTMiLCJ1c2VySWQiOiIzMDc2NzE1OTcifQ==</vt:lpwstr>
  </property>
  <property fmtid="{D5CDD505-2E9C-101B-9397-08002B2CF9AE}" pid="4" name="ICV">
    <vt:lpwstr>A2D9416F4353415D9A03D4918EFB5146_13</vt:lpwstr>
  </property>
</Properties>
</file>