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8DFF81">
      <w:pPr>
        <w:spacing w:after="156" w:afterLines="50" w:line="600" w:lineRule="exact"/>
        <w:jc w:val="center"/>
        <w:rPr>
          <w:rFonts w:hint="eastAsia" w:ascii="华文中宋" w:hAnsi="华文中宋" w:eastAsia="华文中宋" w:cs="方正小标宋简体"/>
          <w:color w:val="000000"/>
          <w:sz w:val="36"/>
          <w:szCs w:val="36"/>
        </w:rPr>
      </w:pPr>
      <w:r>
        <w:rPr>
          <w:rFonts w:hint="eastAsia" w:ascii="华文中宋" w:hAnsi="华文中宋" w:eastAsia="华文中宋" w:cs="方正小标宋简体"/>
          <w:color w:val="000000"/>
          <w:sz w:val="36"/>
          <w:szCs w:val="36"/>
        </w:rPr>
        <w:t>参评作品推荐表</w:t>
      </w:r>
    </w:p>
    <w:tbl>
      <w:tblPr>
        <w:tblStyle w:val="2"/>
        <w:tblW w:w="963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7"/>
        <w:gridCol w:w="282"/>
        <w:gridCol w:w="455"/>
        <w:gridCol w:w="251"/>
        <w:gridCol w:w="426"/>
        <w:gridCol w:w="147"/>
        <w:gridCol w:w="985"/>
        <w:gridCol w:w="449"/>
        <w:gridCol w:w="419"/>
        <w:gridCol w:w="549"/>
        <w:gridCol w:w="306"/>
        <w:gridCol w:w="403"/>
        <w:gridCol w:w="283"/>
        <w:gridCol w:w="421"/>
        <w:gridCol w:w="146"/>
        <w:gridCol w:w="146"/>
        <w:gridCol w:w="563"/>
        <w:gridCol w:w="144"/>
        <w:gridCol w:w="711"/>
        <w:gridCol w:w="281"/>
        <w:gridCol w:w="843"/>
        <w:gridCol w:w="714"/>
      </w:tblGrid>
      <w:tr w14:paraId="1542D5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0" w:hRule="exact"/>
          <w:jc w:val="center"/>
        </w:trPr>
        <w:tc>
          <w:tcPr>
            <w:tcW w:w="1444" w:type="dxa"/>
            <w:gridSpan w:val="3"/>
            <w:vAlign w:val="center"/>
          </w:tcPr>
          <w:p w14:paraId="478FB288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作品标题</w:t>
            </w:r>
          </w:p>
        </w:tc>
        <w:tc>
          <w:tcPr>
            <w:tcW w:w="3532" w:type="dxa"/>
            <w:gridSpan w:val="8"/>
            <w:vAlign w:val="center"/>
          </w:tcPr>
          <w:p w14:paraId="6EC0EDDC">
            <w:pPr>
              <w:spacing w:line="300" w:lineRule="exact"/>
              <w:rPr>
                <w:rFonts w:hint="eastAsia" w:ascii="华文中宋" w:hAnsi="华文中宋" w:eastAsia="华文中宋" w:cs="Times New Roman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酒店摆摊：从“高大上”到“烟火气”，便民更暖心</w:t>
            </w:r>
          </w:p>
        </w:tc>
        <w:tc>
          <w:tcPr>
            <w:tcW w:w="1962" w:type="dxa"/>
            <w:gridSpan w:val="6"/>
            <w:vAlign w:val="center"/>
          </w:tcPr>
          <w:p w14:paraId="5D297B7C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参评项目</w:t>
            </w:r>
          </w:p>
          <w:p w14:paraId="7A7204AF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（刊发形式）</w:t>
            </w:r>
          </w:p>
        </w:tc>
        <w:tc>
          <w:tcPr>
            <w:tcW w:w="2693" w:type="dxa"/>
            <w:gridSpan w:val="5"/>
            <w:vAlign w:val="center"/>
          </w:tcPr>
          <w:p w14:paraId="032A9FD8">
            <w:pPr>
              <w:spacing w:line="300" w:lineRule="exact"/>
              <w:rPr>
                <w:rFonts w:hint="eastAsia" w:ascii="仿宋" w:hAnsi="仿宋" w:eastAsia="仿宋" w:cs="Times New Roman"/>
                <w:color w:val="000000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评论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（报刊）</w:t>
            </w:r>
          </w:p>
        </w:tc>
      </w:tr>
      <w:tr w14:paraId="54698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  <w:jc w:val="center"/>
        </w:trPr>
        <w:tc>
          <w:tcPr>
            <w:tcW w:w="1444" w:type="dxa"/>
            <w:gridSpan w:val="3"/>
            <w:vAlign w:val="center"/>
          </w:tcPr>
          <w:p w14:paraId="3FF5D954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4"/>
              </w:rPr>
              <w:t>字数/时长</w:t>
            </w:r>
          </w:p>
        </w:tc>
        <w:tc>
          <w:tcPr>
            <w:tcW w:w="3532" w:type="dxa"/>
            <w:gridSpan w:val="8"/>
            <w:vAlign w:val="center"/>
          </w:tcPr>
          <w:p w14:paraId="559F53AA">
            <w:pPr>
              <w:spacing w:line="300" w:lineRule="exact"/>
              <w:jc w:val="both"/>
              <w:rPr>
                <w:rFonts w:hint="eastAsia" w:ascii="华文中宋" w:hAnsi="华文中宋" w:eastAsia="华文中宋" w:cs="Times New Roman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6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  <w:t>61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字</w:t>
            </w:r>
          </w:p>
        </w:tc>
        <w:tc>
          <w:tcPr>
            <w:tcW w:w="1253" w:type="dxa"/>
            <w:gridSpan w:val="4"/>
            <w:vAlign w:val="center"/>
          </w:tcPr>
          <w:p w14:paraId="5C598D07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体裁</w:t>
            </w:r>
          </w:p>
        </w:tc>
        <w:tc>
          <w:tcPr>
            <w:tcW w:w="3402" w:type="dxa"/>
            <w:gridSpan w:val="7"/>
            <w:vAlign w:val="center"/>
          </w:tcPr>
          <w:p w14:paraId="72843170">
            <w:pPr>
              <w:spacing w:line="300" w:lineRule="exact"/>
              <w:rPr>
                <w:rFonts w:hint="eastAsia" w:ascii="仿宋_GB2312" w:hAnsi="仿宋" w:eastAsia="仿宋_GB2312" w:cs="Times New Roman"/>
                <w:color w:val="000000"/>
                <w:szCs w:val="21"/>
              </w:rPr>
            </w:pPr>
          </w:p>
        </w:tc>
      </w:tr>
      <w:tr w14:paraId="6036A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8" w:hRule="atLeast"/>
          <w:jc w:val="center"/>
        </w:trPr>
        <w:tc>
          <w:tcPr>
            <w:tcW w:w="1444" w:type="dxa"/>
            <w:gridSpan w:val="3"/>
            <w:vAlign w:val="center"/>
          </w:tcPr>
          <w:p w14:paraId="6F243A8B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pacing w:val="-12"/>
                <w:sz w:val="28"/>
              </w:rPr>
              <w:t>作  者</w:t>
            </w:r>
          </w:p>
          <w:p w14:paraId="5BE6C940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pacing w:val="-12"/>
                <w:sz w:val="24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pacing w:val="-12"/>
                <w:sz w:val="22"/>
              </w:rPr>
              <w:t>（主创人员）</w:t>
            </w:r>
          </w:p>
        </w:tc>
        <w:tc>
          <w:tcPr>
            <w:tcW w:w="3935" w:type="dxa"/>
            <w:gridSpan w:val="9"/>
            <w:vAlign w:val="center"/>
          </w:tcPr>
          <w:p w14:paraId="3FC385AD">
            <w:pPr>
              <w:spacing w:line="300" w:lineRule="exact"/>
              <w:jc w:val="left"/>
              <w:rPr>
                <w:rFonts w:hint="default" w:ascii="仿宋_GB2312" w:hAnsi="华文中宋" w:eastAsia="仿宋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</w:rPr>
              <w:t>汤伟芳</w:t>
            </w:r>
          </w:p>
        </w:tc>
        <w:tc>
          <w:tcPr>
            <w:tcW w:w="996" w:type="dxa"/>
            <w:gridSpan w:val="4"/>
            <w:vAlign w:val="center"/>
          </w:tcPr>
          <w:p w14:paraId="4AEC0721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编辑</w:t>
            </w:r>
          </w:p>
        </w:tc>
        <w:tc>
          <w:tcPr>
            <w:tcW w:w="3256" w:type="dxa"/>
            <w:gridSpan w:val="6"/>
            <w:vAlign w:val="center"/>
          </w:tcPr>
          <w:p w14:paraId="5BDA4930">
            <w:pPr>
              <w:spacing w:line="300" w:lineRule="exact"/>
              <w:jc w:val="both"/>
              <w:rPr>
                <w:rFonts w:hint="eastAsia" w:ascii="仿宋" w:hAnsi="仿宋" w:eastAsia="仿宋" w:cs="Times New Roman"/>
                <w:color w:val="000000"/>
                <w:w w:val="95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冯晓丹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eastAsia="zh-CN"/>
              </w:rPr>
              <w:t>、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邹志兵</w:t>
            </w:r>
          </w:p>
        </w:tc>
      </w:tr>
      <w:tr w14:paraId="447FC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  <w:jc w:val="center"/>
        </w:trPr>
        <w:tc>
          <w:tcPr>
            <w:tcW w:w="1444" w:type="dxa"/>
            <w:gridSpan w:val="3"/>
            <w:vAlign w:val="center"/>
          </w:tcPr>
          <w:p w14:paraId="2C79F53A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原创单位</w:t>
            </w:r>
          </w:p>
        </w:tc>
        <w:tc>
          <w:tcPr>
            <w:tcW w:w="2677" w:type="dxa"/>
            <w:gridSpan w:val="6"/>
            <w:vAlign w:val="center"/>
          </w:tcPr>
          <w:p w14:paraId="5DC188D6">
            <w:pPr>
              <w:spacing w:line="300" w:lineRule="exact"/>
              <w:jc w:val="both"/>
              <w:rPr>
                <w:rFonts w:hint="default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鹰潭市融媒体中心</w:t>
            </w:r>
          </w:p>
        </w:tc>
        <w:tc>
          <w:tcPr>
            <w:tcW w:w="1962" w:type="dxa"/>
            <w:gridSpan w:val="5"/>
            <w:vAlign w:val="center"/>
          </w:tcPr>
          <w:p w14:paraId="64AB609E">
            <w:pPr>
              <w:spacing w:line="300" w:lineRule="exact"/>
              <w:rPr>
                <w:rFonts w:hint="eastAsia" w:ascii="华文中宋" w:hAnsi="华文中宋" w:eastAsia="华文中宋" w:cs="Times New Roman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华文中宋" w:hAnsi="华文中宋" w:eastAsia="华文中宋" w:cs="Times New Roman"/>
                <w:color w:val="auto"/>
                <w:sz w:val="28"/>
                <w:szCs w:val="28"/>
                <w:highlight w:val="none"/>
              </w:rPr>
              <w:t>发布端/账号/</w:t>
            </w:r>
          </w:p>
          <w:p w14:paraId="1DA6764D">
            <w:pPr>
              <w:spacing w:line="300" w:lineRule="exact"/>
              <w:rPr>
                <w:rFonts w:hint="eastAsia" w:ascii="仿宋_GB2312" w:hAnsi="仿宋" w:eastAsia="仿宋_GB2312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华文中宋" w:hAnsi="华文中宋" w:eastAsia="华文中宋" w:cs="Times New Roman"/>
                <w:color w:val="auto"/>
                <w:sz w:val="28"/>
                <w:szCs w:val="28"/>
                <w:highlight w:val="none"/>
              </w:rPr>
              <w:t>媒体名称</w:t>
            </w:r>
          </w:p>
        </w:tc>
        <w:tc>
          <w:tcPr>
            <w:tcW w:w="3548" w:type="dxa"/>
            <w:gridSpan w:val="8"/>
            <w:vAlign w:val="center"/>
          </w:tcPr>
          <w:p w14:paraId="161526D7">
            <w:pPr>
              <w:spacing w:line="300" w:lineRule="exact"/>
              <w:jc w:val="both"/>
              <w:rPr>
                <w:rFonts w:hint="default" w:ascii="仿宋_GB2312" w:hAnsi="仿宋" w:eastAsia="仿宋_GB2312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仿宋_GB2312" w:hAnsi="仿宋" w:eastAsia="仿宋_GB2312" w:cs="Times New Roman"/>
                <w:color w:val="auto"/>
                <w:sz w:val="21"/>
                <w:szCs w:val="21"/>
                <w:highlight w:val="none"/>
                <w:lang w:val="en-US" w:eastAsia="zh-CN"/>
              </w:rPr>
              <w:t>鹰潭日报</w:t>
            </w:r>
          </w:p>
        </w:tc>
      </w:tr>
      <w:tr w14:paraId="75413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exact"/>
          <w:jc w:val="center"/>
        </w:trPr>
        <w:tc>
          <w:tcPr>
            <w:tcW w:w="2268" w:type="dxa"/>
            <w:gridSpan w:val="6"/>
            <w:vAlign w:val="center"/>
          </w:tcPr>
          <w:p w14:paraId="7546E08B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刊播栏目或版面</w:t>
            </w:r>
          </w:p>
        </w:tc>
        <w:tc>
          <w:tcPr>
            <w:tcW w:w="4107" w:type="dxa"/>
            <w:gridSpan w:val="10"/>
            <w:vAlign w:val="center"/>
          </w:tcPr>
          <w:p w14:paraId="3B213BAB">
            <w:pPr>
              <w:spacing w:line="300" w:lineRule="exact"/>
              <w:jc w:val="both"/>
              <w:rPr>
                <w:rFonts w:hint="default" w:ascii="仿宋" w:hAnsi="仿宋" w:eastAsia="仿宋" w:cs="Times New Roman"/>
                <w:color w:val="000000"/>
                <w:szCs w:val="21"/>
                <w:lang w:val="en-US"/>
              </w:rPr>
            </w:pPr>
            <w:r>
              <w:rPr>
                <w:rFonts w:hint="eastAsia" w:ascii="仿宋_GB2312" w:hAnsi="仿宋" w:eastAsia="仿宋_GB2312" w:cs="Times New Roman"/>
                <w:color w:val="auto"/>
                <w:sz w:val="21"/>
                <w:szCs w:val="21"/>
                <w:highlight w:val="none"/>
                <w:lang w:val="en-US" w:eastAsia="zh-CN"/>
              </w:rPr>
              <w:t>一版</w:t>
            </w:r>
          </w:p>
        </w:tc>
        <w:tc>
          <w:tcPr>
            <w:tcW w:w="1418" w:type="dxa"/>
            <w:gridSpan w:val="3"/>
            <w:vAlign w:val="center"/>
          </w:tcPr>
          <w:p w14:paraId="04FADCAD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刊播日期</w:t>
            </w:r>
          </w:p>
        </w:tc>
        <w:tc>
          <w:tcPr>
            <w:tcW w:w="1838" w:type="dxa"/>
            <w:gridSpan w:val="3"/>
            <w:vAlign w:val="center"/>
          </w:tcPr>
          <w:p w14:paraId="26F08C40">
            <w:pPr>
              <w:spacing w:line="300" w:lineRule="exact"/>
              <w:rPr>
                <w:rFonts w:hint="eastAsia" w:ascii="仿宋" w:hAnsi="仿宋" w:eastAsia="仿宋" w:cs="Times New Roman"/>
                <w:color w:val="000000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2025年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7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月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16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日</w:t>
            </w:r>
          </w:p>
        </w:tc>
      </w:tr>
      <w:tr w14:paraId="478A55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6" w:hRule="exact"/>
          <w:jc w:val="center"/>
        </w:trPr>
        <w:tc>
          <w:tcPr>
            <w:tcW w:w="1444" w:type="dxa"/>
            <w:gridSpan w:val="3"/>
            <w:vAlign w:val="center"/>
          </w:tcPr>
          <w:p w14:paraId="6D8AEC42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新媒体作品网址</w:t>
            </w:r>
          </w:p>
        </w:tc>
        <w:tc>
          <w:tcPr>
            <w:tcW w:w="4639" w:type="dxa"/>
            <w:gridSpan w:val="11"/>
            <w:vAlign w:val="center"/>
          </w:tcPr>
          <w:p w14:paraId="2A1A7F95">
            <w:pPr>
              <w:spacing w:line="300" w:lineRule="exact"/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</w:pPr>
          </w:p>
        </w:tc>
        <w:tc>
          <w:tcPr>
            <w:tcW w:w="2834" w:type="dxa"/>
            <w:gridSpan w:val="7"/>
            <w:vAlign w:val="center"/>
          </w:tcPr>
          <w:p w14:paraId="7A9AE3C6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是否为“三好作品”</w:t>
            </w:r>
          </w:p>
        </w:tc>
        <w:tc>
          <w:tcPr>
            <w:tcW w:w="714" w:type="dxa"/>
            <w:vAlign w:val="center"/>
          </w:tcPr>
          <w:p w14:paraId="2321175F">
            <w:pPr>
              <w:spacing w:line="300" w:lineRule="exact"/>
              <w:rPr>
                <w:rFonts w:hint="eastAsia" w:ascii="仿宋" w:hAnsi="仿宋" w:eastAsia="仿宋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val="en-US" w:eastAsia="zh-CN"/>
              </w:rPr>
              <w:t>否</w:t>
            </w:r>
          </w:p>
        </w:tc>
      </w:tr>
      <w:tr w14:paraId="17DD9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2" w:hRule="atLeast"/>
          <w:jc w:val="center"/>
        </w:trPr>
        <w:tc>
          <w:tcPr>
            <w:tcW w:w="989" w:type="dxa"/>
            <w:gridSpan w:val="2"/>
            <w:vAlign w:val="center"/>
          </w:tcPr>
          <w:p w14:paraId="62F29726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 xml:space="preserve">  ︵</w:t>
            </w:r>
          </w:p>
          <w:p w14:paraId="0F9D8106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作采</w:t>
            </w:r>
          </w:p>
          <w:p w14:paraId="286B6C18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品编</w:t>
            </w:r>
          </w:p>
          <w:p w14:paraId="3C1E8EF0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简过</w:t>
            </w:r>
          </w:p>
          <w:p w14:paraId="7B5E6C31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介程</w:t>
            </w:r>
          </w:p>
          <w:p w14:paraId="7069A04A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 xml:space="preserve">  ︶</w:t>
            </w:r>
          </w:p>
        </w:tc>
        <w:tc>
          <w:tcPr>
            <w:tcW w:w="8642" w:type="dxa"/>
            <w:gridSpan w:val="20"/>
            <w:vAlign w:val="center"/>
          </w:tcPr>
          <w:p w14:paraId="21DC34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392" w:firstLineChars="200"/>
              <w:textAlignment w:val="auto"/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作者在下班途中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，发现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鹰潭市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月湖区建设路与胜利东路十字路口某餐饮集团的“便民外带区”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吸引很多市民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，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敏锐地捕捉到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其酒店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经营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与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摆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摊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外带两种经营模式之间的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反差极具新闻价值，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于是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确定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评论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方向。随后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作者多次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以消费者身份体验餐品口感与价格，与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餐饮店负责人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、市民交流收集真实反馈。进一步挖掘得知，该模式打破酒店传统距离感，高性价比与便民服务是核心亮点，且南昌、上饶等地也在推行，属拉动夏日经济的新趋势。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  <w:lang w:val="en-US" w:eastAsia="zh-CN"/>
              </w:rPr>
              <w:t>作者</w:t>
            </w:r>
            <w:r>
              <w:rPr>
                <w:rFonts w:hint="eastAsia" w:ascii="仿宋" w:hAnsi="仿宋" w:eastAsia="仿宋" w:cs="Times New Roman"/>
                <w:color w:val="000000"/>
                <w:w w:val="95"/>
                <w:sz w:val="21"/>
                <w:szCs w:val="21"/>
              </w:rPr>
              <w:t>最终整合一手体验、市民反馈及多地业态信息，提炼酒店“俯身”双赢的核心观点，形成评论稿件。</w:t>
            </w:r>
          </w:p>
        </w:tc>
      </w:tr>
      <w:tr w14:paraId="2023A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5" w:hRule="exact"/>
          <w:jc w:val="center"/>
        </w:trPr>
        <w:tc>
          <w:tcPr>
            <w:tcW w:w="989" w:type="dxa"/>
            <w:gridSpan w:val="2"/>
            <w:vAlign w:val="center"/>
          </w:tcPr>
          <w:p w14:paraId="2A4F3D20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社</w:t>
            </w:r>
          </w:p>
          <w:p w14:paraId="3CE8BA29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会</w:t>
            </w:r>
          </w:p>
          <w:p w14:paraId="473A7FF3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效</w:t>
            </w:r>
          </w:p>
          <w:p w14:paraId="2A4B6AF0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果</w:t>
            </w:r>
          </w:p>
        </w:tc>
        <w:tc>
          <w:tcPr>
            <w:tcW w:w="8642" w:type="dxa"/>
            <w:gridSpan w:val="20"/>
            <w:vAlign w:val="center"/>
          </w:tcPr>
          <w:p w14:paraId="3392C1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414" w:firstLineChars="200"/>
              <w:textAlignment w:val="auto"/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评论一经发布便收获热烈反响，引发市民深度共鸣，其暖心便民、高性价比的特点获得一致好评。报道有效发挥舆论引导作用，在餐饮行业形成鲜明示范，推动更多商家效仿“高端俯身入市井”的外摆模式，为夏日经济注入强劲动力</w:t>
            </w: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eastAsia="zh-CN"/>
              </w:rPr>
              <w:t>。酒店从“高大上”转向“烟火气”的转型，既强化了公众对民生服务的关注，更引导商家兼顾商业效益与社会价值，传递出积极健康的消费导向与经营理念。</w:t>
            </w:r>
          </w:p>
        </w:tc>
      </w:tr>
      <w:tr w14:paraId="14D4F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exact"/>
          <w:jc w:val="center"/>
        </w:trPr>
        <w:tc>
          <w:tcPr>
            <w:tcW w:w="70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24CB43"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传</w:t>
            </w:r>
          </w:p>
          <w:p w14:paraId="1C968609"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播</w:t>
            </w:r>
          </w:p>
          <w:p w14:paraId="55A0BFB1"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数</w:t>
            </w:r>
          </w:p>
          <w:p w14:paraId="12E6BA87"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据</w:t>
            </w:r>
          </w:p>
        </w:tc>
        <w:tc>
          <w:tcPr>
            <w:tcW w:w="988" w:type="dxa"/>
            <w:gridSpan w:val="3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D4FC6B6">
            <w:pPr>
              <w:spacing w:line="300" w:lineRule="exact"/>
              <w:jc w:val="center"/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  <w:t>新媒体传播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平台网址</w:t>
            </w:r>
          </w:p>
        </w:tc>
        <w:tc>
          <w:tcPr>
            <w:tcW w:w="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8723FD">
            <w:pPr>
              <w:spacing w:line="300" w:lineRule="exact"/>
              <w:jc w:val="center"/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1</w:t>
            </w:r>
          </w:p>
        </w:tc>
        <w:tc>
          <w:tcPr>
            <w:tcW w:w="7510" w:type="dxa"/>
            <w:gridSpan w:val="1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AE9637">
            <w:pPr>
              <w:spacing w:line="30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https://app.ytnews.cn/webDetails/news?id=9932513&amp;tenantId=301&amp;uid=683f9d5d4c6dff00192afdd4</w:t>
            </w:r>
          </w:p>
        </w:tc>
      </w:tr>
      <w:tr w14:paraId="62C3E5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exact"/>
          <w:jc w:val="center"/>
        </w:trPr>
        <w:tc>
          <w:tcPr>
            <w:tcW w:w="70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33CD028"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988" w:type="dxa"/>
            <w:gridSpan w:val="3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09834D">
            <w:pPr>
              <w:spacing w:line="300" w:lineRule="exact"/>
              <w:jc w:val="center"/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</w:pPr>
          </w:p>
        </w:tc>
        <w:tc>
          <w:tcPr>
            <w:tcW w:w="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71320E">
            <w:pPr>
              <w:spacing w:line="300" w:lineRule="exact"/>
              <w:jc w:val="center"/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cs="仿宋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7510" w:type="dxa"/>
            <w:gridSpan w:val="1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D5C7AD">
            <w:pPr>
              <w:spacing w:line="30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</w:p>
        </w:tc>
      </w:tr>
      <w:tr w14:paraId="4C0BC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exact"/>
          <w:jc w:val="center"/>
        </w:trPr>
        <w:tc>
          <w:tcPr>
            <w:tcW w:w="70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159D16">
            <w:pPr>
              <w:widowControl/>
              <w:spacing w:line="300" w:lineRule="exact"/>
              <w:jc w:val="left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2546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49FEAF">
            <w:pPr>
              <w:spacing w:line="30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阅读量（浏览量、点击量）</w:t>
            </w:r>
          </w:p>
        </w:tc>
        <w:tc>
          <w:tcPr>
            <w:tcW w:w="141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BC5A17">
            <w:pPr>
              <w:spacing w:line="30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/>
                <w:color w:val="000000"/>
                <w:sz w:val="21"/>
                <w:szCs w:val="21"/>
                <w:lang w:val="en-US" w:eastAsia="zh-CN"/>
              </w:rPr>
              <w:t>9.3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万+</w:t>
            </w:r>
          </w:p>
        </w:tc>
        <w:tc>
          <w:tcPr>
            <w:tcW w:w="99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D8E805">
            <w:pPr>
              <w:spacing w:line="30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转载量</w:t>
            </w:r>
          </w:p>
        </w:tc>
        <w:tc>
          <w:tcPr>
            <w:tcW w:w="142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49BC1D">
            <w:pPr>
              <w:spacing w:line="300" w:lineRule="exact"/>
              <w:jc w:val="center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/>
                <w:color w:val="000000"/>
                <w:sz w:val="21"/>
                <w:szCs w:val="21"/>
                <w:lang w:val="en-US" w:eastAsia="zh-CN"/>
              </w:rPr>
              <w:t>163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C29C7E">
            <w:pPr>
              <w:spacing w:line="30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155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FA86A2">
            <w:pPr>
              <w:spacing w:line="30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/>
                <w:color w:val="000000"/>
                <w:sz w:val="21"/>
                <w:szCs w:val="21"/>
                <w:lang w:val="en-US" w:eastAsia="zh-CN"/>
              </w:rPr>
              <w:t>1132</w:t>
            </w:r>
          </w:p>
        </w:tc>
      </w:tr>
      <w:tr w14:paraId="491DE8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36" w:hRule="exact"/>
          <w:jc w:val="center"/>
        </w:trPr>
        <w:tc>
          <w:tcPr>
            <w:tcW w:w="1444" w:type="dxa"/>
            <w:gridSpan w:val="3"/>
            <w:tcBorders>
              <w:bottom w:val="single" w:color="auto" w:sz="4" w:space="0"/>
            </w:tcBorders>
            <w:vAlign w:val="center"/>
          </w:tcPr>
          <w:p w14:paraId="31BD3A92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推荐理由</w:t>
            </w:r>
          </w:p>
        </w:tc>
        <w:tc>
          <w:tcPr>
            <w:tcW w:w="8187" w:type="dxa"/>
            <w:gridSpan w:val="19"/>
            <w:tcBorders>
              <w:bottom w:val="single" w:color="auto" w:sz="4" w:space="0"/>
            </w:tcBorders>
            <w:vAlign w:val="center"/>
          </w:tcPr>
          <w:p w14:paraId="3CEDFB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404"/>
              <w:textAlignment w:val="auto"/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  <w:t>报道聚焦酒店摆摊新鲜业态，选题扎根市井、贴近民生，精准捕捉高端餐饮俯身融入烟火生活的行业新趋势，现实意义突出。作者以实地体验为基，结合消费者真实反馈，生动呈现该模式高性价比与便民暖心的特质，行文逻辑层层递进，从现象描摹到价值提炼自然流畅，内容鲜活有温度</w:t>
            </w:r>
            <w:r>
              <w:rPr>
                <w:rFonts w:hint="eastAsia" w:ascii="仿宋" w:hAnsi="仿宋" w:cs="Times New Roman"/>
                <w:color w:val="000000"/>
                <w:spacing w:val="-2"/>
                <w:sz w:val="21"/>
                <w:szCs w:val="21"/>
                <w:lang w:eastAsia="zh-CN"/>
              </w:rPr>
              <w:t>。作品入选江西省委宣传部第三期“三好作品”</w:t>
            </w:r>
            <w:r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  <w:t xml:space="preserve">。     </w:t>
            </w:r>
          </w:p>
          <w:p w14:paraId="4DE709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404"/>
              <w:textAlignment w:val="auto"/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  <w:t xml:space="preserve">               </w:t>
            </w:r>
          </w:p>
          <w:p w14:paraId="55C260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2233" w:firstLineChars="1100"/>
              <w:jc w:val="both"/>
              <w:textAlignment w:val="auto"/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pacing w:val="-2"/>
                <w:sz w:val="21"/>
                <w:szCs w:val="21"/>
              </w:rPr>
              <w:t>单位主要负责人签名：</w:t>
            </w:r>
            <w:r>
              <w:rPr>
                <w:rFonts w:hint="eastAsia" w:ascii="仿宋" w:hAnsi="仿宋" w:cs="Times New Roman"/>
                <w:color w:val="000000"/>
                <w:spacing w:val="-2"/>
                <w:sz w:val="21"/>
                <w:szCs w:val="21"/>
                <w:lang w:val="en-US" w:eastAsia="zh-CN"/>
              </w:rPr>
              <w:t xml:space="preserve">                  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（盖单位公章）</w:t>
            </w:r>
          </w:p>
          <w:p w14:paraId="1CF6F4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textAlignment w:val="auto"/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 xml:space="preserve">                                                  </w:t>
            </w: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val="en-US" w:eastAsia="zh-CN"/>
              </w:rPr>
              <w:t xml:space="preserve">       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 xml:space="preserve"> </w:t>
            </w: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val="en-US" w:eastAsia="zh-CN"/>
              </w:rPr>
              <w:t>2026</w:t>
            </w:r>
            <w:r>
              <w:rPr>
                <w:rFonts w:ascii="仿宋" w:hAnsi="仿宋" w:eastAsia="仿宋" w:cs="Times New Roman"/>
                <w:color w:val="000000"/>
                <w:sz w:val="21"/>
                <w:szCs w:val="21"/>
              </w:rPr>
              <w:t>年</w:t>
            </w: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月</w:t>
            </w:r>
            <w:r>
              <w:rPr>
                <w:rFonts w:hint="eastAsia" w:ascii="仿宋" w:hAnsi="仿宋" w:cs="Times New Roman"/>
                <w:color w:val="00000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</w:rPr>
              <w:t>日</w:t>
            </w:r>
          </w:p>
        </w:tc>
      </w:tr>
      <w:tr w14:paraId="32722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" w:hRule="exact"/>
          <w:jc w:val="center"/>
        </w:trPr>
        <w:tc>
          <w:tcPr>
            <w:tcW w:w="989" w:type="dxa"/>
            <w:gridSpan w:val="2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B762B39">
            <w:pPr>
              <w:spacing w:line="300" w:lineRule="exact"/>
              <w:jc w:val="center"/>
              <w:rPr>
                <w:rFonts w:hint="eastAsia" w:ascii="华文中宋" w:hAnsi="华文中宋" w:eastAsia="华文中宋" w:cs="Times New Roman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作者</w:t>
            </w:r>
          </w:p>
        </w:tc>
        <w:tc>
          <w:tcPr>
            <w:tcW w:w="2713" w:type="dxa"/>
            <w:gridSpan w:val="6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F64E2A8">
            <w:pPr>
              <w:spacing w:line="300" w:lineRule="exact"/>
              <w:rPr>
                <w:rFonts w:hint="default" w:ascii="仿宋" w:hAnsi="仿宋" w:eastAsia="仿宋" w:cs="Times New Roman"/>
                <w:color w:val="000000"/>
                <w:sz w:val="32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汤伟芳</w:t>
            </w:r>
          </w:p>
        </w:tc>
        <w:tc>
          <w:tcPr>
            <w:tcW w:w="1274" w:type="dxa"/>
            <w:gridSpan w:val="3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C57FC4D">
            <w:pPr>
              <w:spacing w:line="300" w:lineRule="exact"/>
              <w:rPr>
                <w:rFonts w:hint="eastAsia" w:ascii="仿宋" w:hAnsi="仿宋" w:eastAsia="仿宋" w:cs="Times New Roman"/>
                <w:color w:val="000000"/>
                <w:sz w:val="32"/>
                <w:szCs w:val="21"/>
              </w:rPr>
            </w:pPr>
            <w:r>
              <w:rPr>
                <w:rFonts w:hint="eastAsia" w:ascii="华文中宋" w:hAnsi="华文中宋" w:eastAsia="华文中宋" w:cs="Times New Roman"/>
                <w:color w:val="000000"/>
                <w:sz w:val="28"/>
              </w:rPr>
              <w:t>手机</w:t>
            </w:r>
          </w:p>
        </w:tc>
        <w:tc>
          <w:tcPr>
            <w:tcW w:w="4655" w:type="dxa"/>
            <w:gridSpan w:val="11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6771BCB">
            <w:pPr>
              <w:spacing w:line="300" w:lineRule="exact"/>
              <w:rPr>
                <w:rFonts w:hint="default" w:ascii="仿宋" w:hAnsi="仿宋" w:eastAsia="仿宋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color w:val="000000"/>
                <w:sz w:val="21"/>
                <w:szCs w:val="21"/>
                <w:lang w:val="en-US" w:eastAsia="zh-CN"/>
              </w:rPr>
              <w:t>13870045763</w:t>
            </w:r>
          </w:p>
        </w:tc>
      </w:tr>
    </w:tbl>
    <w:p w14:paraId="0FAD444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  <w:sectPr>
          <w:pgSz w:w="11906" w:h="16838"/>
          <w:pgMar w:top="1440" w:right="1797" w:bottom="1440" w:left="1797" w:header="851" w:footer="992" w:gutter="0"/>
          <w:cols w:space="0" w:num="1"/>
          <w:rtlGutter w:val="0"/>
          <w:docGrid w:type="linesAndChars" w:linePitch="410" w:charSpace="-642"/>
        </w:sectPr>
      </w:pPr>
    </w:p>
    <w:p w14:paraId="78AD3F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3EBBBB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  <w:r>
        <w:rPr>
          <w:rFonts w:hint="eastAsia" w:ascii="仿宋" w:hAnsi="仿宋" w:eastAsia="仿宋" w:cs="CESI仿宋-GB2312"/>
          <w:sz w:val="28"/>
          <w:szCs w:val="28"/>
          <w:lang w:val="en-US" w:eastAsia="zh-CN"/>
        </w:rPr>
        <w:drawing>
          <wp:inline distT="0" distB="0" distL="114300" distR="114300">
            <wp:extent cx="5166360" cy="5793740"/>
            <wp:effectExtent l="0" t="0" r="15240" b="1651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579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194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3B15A8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6B1F33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562A35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63AB3A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44C8B4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21F408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5B469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  <w:r>
        <w:rPr>
          <w:rFonts w:hint="eastAsia" w:ascii="仿宋" w:hAnsi="仿宋" w:eastAsia="仿宋" w:cs="CESI仿宋-GB2312"/>
          <w:sz w:val="28"/>
          <w:szCs w:val="28"/>
          <w:lang w:val="en-US" w:eastAsia="zh-CN"/>
        </w:rPr>
        <w:t>评论</w:t>
      </w:r>
    </w:p>
    <w:p w14:paraId="31988D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1B84D2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/>
        <w:jc w:val="center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酒店摆摊：从“高大上”到“烟火气”，便民更暖心</w:t>
      </w:r>
    </w:p>
    <w:p w14:paraId="1DF2A8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作者：</w:t>
      </w:r>
      <w:r>
        <w:rPr>
          <w:rFonts w:hint="eastAsia" w:ascii="仿宋" w:hAnsi="仿宋" w:eastAsia="仿宋" w:cs="仿宋"/>
          <w:sz w:val="24"/>
          <w:szCs w:val="24"/>
        </w:rPr>
        <w:t>汤伟芳</w:t>
      </w:r>
    </w:p>
    <w:p w14:paraId="347CA9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编辑：冯晓丹</w:t>
      </w:r>
      <w:r>
        <w:rPr>
          <w:rFonts w:hint="eastAsia" w:ascii="仿宋" w:hAnsi="仿宋" w:cs="仿宋"/>
          <w:sz w:val="24"/>
          <w:szCs w:val="24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邹志兵 </w:t>
      </w:r>
    </w:p>
    <w:p w14:paraId="3DD097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31D829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连日来，月湖区建设路与胜利东路十字路口多了道特别的风景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——</w:t>
      </w:r>
      <w:r>
        <w:rPr>
          <w:rFonts w:hint="eastAsia" w:ascii="仿宋" w:hAnsi="仿宋" w:eastAsia="仿宋" w:cs="仿宋"/>
          <w:sz w:val="28"/>
          <w:szCs w:val="28"/>
        </w:rPr>
        <w:t>每天中午、晚上餐前1小时左右，某餐饮集团的“便民外带区”总会准时支起一排整齐的摊位。走近瞧瞧，热乎气里藏着不少惊喜：刚出炉的肉包子暄软喷香，餐厅里的招牌硬菜如红烧肉、稻草鸭、红烧甲鱼、麻辣小龙虾也赫然在列，甚至能提前预订心仪菜品，烟火气里透着实在。</w:t>
      </w:r>
    </w:p>
    <w:p w14:paraId="7A4262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“好吃不贵，还是大厨现做！”笔者也经不住吆喝，买了份卤猪蹄，保温袋一路锁着香，回家打开还是热乎的，肉质新鲜弹牙，味道和堂食分毫不差，但价格比餐厅便宜。隔壁阿姨笑着说：“这卤菜比菜市场的还实在，我天天去，家里人都爱吃。”</w:t>
      </w:r>
    </w:p>
    <w:p w14:paraId="30DDDE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　酒店放下“高大上”的身段，支起充满“烟火气”的摊位，这步棋走得实在又暖心。以往提起酒店，总觉得自带距离感，而如今酒店把便民服务搬到地摊上，无论是海鲜水产、家常卤味，还是招牌硬菜，市民花更少的钱，就能轻松品尝到酒店水准的味道。</w:t>
      </w:r>
    </w:p>
    <w:p w14:paraId="0E0CB4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　更难得的是这种接地气的互动：提前预订满足个性化需求，保温包装保证餐品品质，平价策略贴近大众消费——这些细节让餐饮酒店从一个“高冷”场所变成了街坊邻里的“后厨伙伴”。这种转变不仅拉近了与大众的距离，更让“便民”二字落到了实处，它不再是冷冰冰的招牌，而是拎在手里的热乎饭菜，是比菜市场还实在的性价比，是触手可及的生活便利。</w:t>
      </w:r>
    </w:p>
    <w:p w14:paraId="5BF5E8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</w:pPr>
      <w:r>
        <w:rPr>
          <w:rFonts w:hint="eastAsia" w:ascii="仿宋" w:hAnsi="仿宋" w:eastAsia="仿宋" w:cs="仿宋"/>
          <w:sz w:val="28"/>
          <w:szCs w:val="28"/>
        </w:rPr>
        <w:t xml:space="preserve">当酒店愿意“俯身”融入市井烟火，收获的不仅是排队的人气，更是街坊邻里的信任感。这样的尝试，既盘活了酒店资源，又暖了百姓心窝，值得点赞，更值得其他商家借鉴。而今，这种模式不仅在鹰潭出现，南昌、上饶等地一些餐饮集团也逐渐推行，成为拉动地方夏日经济增长的新亮点。 </w:t>
      </w:r>
      <w:bookmarkStart w:id="0" w:name="_GoBack"/>
      <w:bookmarkEnd w:id="0"/>
    </w:p>
    <w:sectPr>
      <w:pgSz w:w="11906" w:h="16838"/>
      <w:pgMar w:top="1440" w:right="1797" w:bottom="1440" w:left="1797" w:header="851" w:footer="992" w:gutter="0"/>
      <w:cols w:space="0" w:num="1"/>
      <w:rtlGutter w:val="0"/>
      <w:docGrid w:type="linesAndChars" w:linePitch="410" w:charSpace="-60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华文中宋">
    <w:altName w:val="汉仪中宋简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CESI仿宋-GB2312">
    <w:panose1 w:val="02000500000000000000"/>
    <w:charset w:val="86"/>
    <w:family w:val="auto"/>
    <w:pitch w:val="default"/>
    <w:sig w:usb0="800002AF" w:usb1="084F6CF8" w:usb2="00000010" w:usb3="00000000" w:csb0="0004000F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MathJax_Vector">
    <w:panose1 w:val="02000603000000000000"/>
    <w:charset w:val="00"/>
    <w:family w:val="auto"/>
    <w:pitch w:val="default"/>
    <w:sig w:usb0="00000001" w:usb1="0000002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HorizontalSpacing w:val="138"/>
  <w:drawingGridVerticalSpacing w:val="205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g5MTJiNThlZjQ3NzQxNWJmMjFkMTgzYjE0ZjEwMTUifQ=="/>
  </w:docVars>
  <w:rsids>
    <w:rsidRoot w:val="00000000"/>
    <w:rsid w:val="0337738D"/>
    <w:rsid w:val="03977E2B"/>
    <w:rsid w:val="0E3667FF"/>
    <w:rsid w:val="17C20BA8"/>
    <w:rsid w:val="1B0911B7"/>
    <w:rsid w:val="20F348C1"/>
    <w:rsid w:val="2595145F"/>
    <w:rsid w:val="289A5B44"/>
    <w:rsid w:val="291B7AB6"/>
    <w:rsid w:val="2CDF8F32"/>
    <w:rsid w:val="2DCC49F2"/>
    <w:rsid w:val="2F6F34EF"/>
    <w:rsid w:val="3280641A"/>
    <w:rsid w:val="32DD144F"/>
    <w:rsid w:val="397321C6"/>
    <w:rsid w:val="4AFA2747"/>
    <w:rsid w:val="4C170698"/>
    <w:rsid w:val="4F437483"/>
    <w:rsid w:val="51031C29"/>
    <w:rsid w:val="557F7743"/>
    <w:rsid w:val="56F65837"/>
    <w:rsid w:val="59AA358A"/>
    <w:rsid w:val="662446C4"/>
    <w:rsid w:val="6A070584"/>
    <w:rsid w:val="6B874258"/>
    <w:rsid w:val="7AFB559C"/>
    <w:rsid w:val="7CCF0ADD"/>
    <w:rsid w:val="7D9B1B0D"/>
    <w:rsid w:val="7DE67E8E"/>
    <w:rsid w:val="7E7F64E4"/>
    <w:rsid w:val="CFEB51C3"/>
    <w:rsid w:val="FD6F2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Ascii" w:hAnsiTheme="minorAscii" w:cstheme="minorBidi"/>
      <w:kern w:val="2"/>
      <w:sz w:val="28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1491</Words>
  <Characters>1667</Characters>
  <Lines>0</Lines>
  <Paragraphs>0</Paragraphs>
  <TotalTime>5</TotalTime>
  <ScaleCrop>false</ScaleCrop>
  <LinksUpToDate>false</LinksUpToDate>
  <CharactersWithSpaces>1773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2026-01-10T21:23:00Z</dcterms:created>
  <dc:creator>86138</dc:creator>
  <cp:lastModifiedBy>牧风</cp:lastModifiedBy>
  <dcterms:modified xsi:type="dcterms:W3CDTF">2026-01-17T23:02:22Z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KSOTemplateDocerSaveRecord">
    <vt:lpwstr>eyJoZGlkIjoiMGQ1NzBhNzEzMzI3N2ZjOWU0YmEwZDk5NmZkMTkyYTMiLCJ1c2VySWQiOiIzMDc2NzE1OTcifQ==</vt:lpwstr>
  </property>
  <property fmtid="{D5CDD505-2E9C-101B-9397-08002B2CF9AE}" pid="4" name="ICV">
    <vt:lpwstr>25B2D4EAADB042BABEAFAEAFC2B8BEA1_13</vt:lpwstr>
  </property>
</Properties>
</file>