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DFF81">
      <w:pPr>
        <w:spacing w:after="156" w:afterLines="50" w:line="600" w:lineRule="exact"/>
        <w:jc w:val="center"/>
        <w:rPr>
          <w:rFonts w:hint="eastAsia" w:ascii="华文中宋" w:hAnsi="华文中宋" w:eastAsia="华文中宋" w:cs="方正小标宋简体"/>
          <w:color w:val="000000"/>
          <w:sz w:val="36"/>
          <w:szCs w:val="36"/>
        </w:rPr>
      </w:pPr>
      <w:r>
        <w:rPr>
          <w:rFonts w:hint="eastAsia" w:ascii="华文中宋" w:hAnsi="华文中宋" w:eastAsia="华文中宋" w:cs="方正小标宋简体"/>
          <w:color w:val="000000"/>
          <w:sz w:val="36"/>
          <w:szCs w:val="36"/>
        </w:rPr>
        <w:t>参评作品推荐表</w:t>
      </w:r>
    </w:p>
    <w:tbl>
      <w:tblPr>
        <w:tblStyle w:val="4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82"/>
        <w:gridCol w:w="455"/>
        <w:gridCol w:w="251"/>
        <w:gridCol w:w="426"/>
        <w:gridCol w:w="147"/>
        <w:gridCol w:w="985"/>
        <w:gridCol w:w="449"/>
        <w:gridCol w:w="419"/>
        <w:gridCol w:w="549"/>
        <w:gridCol w:w="232"/>
        <w:gridCol w:w="74"/>
        <w:gridCol w:w="403"/>
        <w:gridCol w:w="283"/>
        <w:gridCol w:w="421"/>
        <w:gridCol w:w="146"/>
        <w:gridCol w:w="146"/>
        <w:gridCol w:w="563"/>
        <w:gridCol w:w="144"/>
        <w:gridCol w:w="711"/>
        <w:gridCol w:w="281"/>
        <w:gridCol w:w="843"/>
        <w:gridCol w:w="714"/>
      </w:tblGrid>
      <w:tr w14:paraId="1542D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  <w:jc w:val="center"/>
        </w:trPr>
        <w:tc>
          <w:tcPr>
            <w:tcW w:w="1444" w:type="dxa"/>
            <w:gridSpan w:val="3"/>
            <w:vAlign w:val="center"/>
          </w:tcPr>
          <w:p w14:paraId="478FB288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作品标题</w:t>
            </w:r>
          </w:p>
        </w:tc>
        <w:tc>
          <w:tcPr>
            <w:tcW w:w="3532" w:type="dxa"/>
            <w:gridSpan w:val="9"/>
            <w:vAlign w:val="center"/>
          </w:tcPr>
          <w:p w14:paraId="6EC0EDDC">
            <w:pPr>
              <w:spacing w:line="300" w:lineRule="exact"/>
              <w:jc w:val="left"/>
              <w:rPr>
                <w:rFonts w:hint="default" w:ascii="华文中宋" w:hAnsi="华文中宋" w:eastAsia="华文中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攀高之路</w:t>
            </w:r>
          </w:p>
        </w:tc>
        <w:tc>
          <w:tcPr>
            <w:tcW w:w="1962" w:type="dxa"/>
            <w:gridSpan w:val="6"/>
            <w:vAlign w:val="center"/>
          </w:tcPr>
          <w:p w14:paraId="5D297B7C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参评项目</w:t>
            </w:r>
          </w:p>
          <w:p w14:paraId="7A7204A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（刊发形式）</w:t>
            </w:r>
          </w:p>
        </w:tc>
        <w:tc>
          <w:tcPr>
            <w:tcW w:w="2693" w:type="dxa"/>
            <w:gridSpan w:val="5"/>
            <w:vAlign w:val="center"/>
          </w:tcPr>
          <w:p w14:paraId="032A9FD8">
            <w:pPr>
              <w:spacing w:line="300" w:lineRule="exact"/>
              <w:jc w:val="lef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通讯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（报刊）</w:t>
            </w:r>
          </w:p>
        </w:tc>
      </w:tr>
      <w:tr w14:paraId="5469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444" w:type="dxa"/>
            <w:gridSpan w:val="3"/>
            <w:vAlign w:val="center"/>
          </w:tcPr>
          <w:p w14:paraId="3FF5D954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</w:rPr>
              <w:t>字数/时长</w:t>
            </w:r>
          </w:p>
        </w:tc>
        <w:tc>
          <w:tcPr>
            <w:tcW w:w="3532" w:type="dxa"/>
            <w:gridSpan w:val="9"/>
            <w:vAlign w:val="center"/>
          </w:tcPr>
          <w:p w14:paraId="559F53AA">
            <w:pPr>
              <w:spacing w:line="300" w:lineRule="exact"/>
              <w:jc w:val="left"/>
              <w:rPr>
                <w:rFonts w:hint="eastAsia" w:ascii="华文中宋" w:hAnsi="华文中宋" w:eastAsia="华文中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754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字</w:t>
            </w:r>
          </w:p>
        </w:tc>
        <w:tc>
          <w:tcPr>
            <w:tcW w:w="1253" w:type="dxa"/>
            <w:gridSpan w:val="4"/>
            <w:vAlign w:val="center"/>
          </w:tcPr>
          <w:p w14:paraId="5C598D07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体裁</w:t>
            </w:r>
          </w:p>
        </w:tc>
        <w:tc>
          <w:tcPr>
            <w:tcW w:w="3402" w:type="dxa"/>
            <w:gridSpan w:val="7"/>
            <w:vAlign w:val="center"/>
          </w:tcPr>
          <w:p w14:paraId="72843170">
            <w:pPr>
              <w:spacing w:line="300" w:lineRule="exact"/>
              <w:rPr>
                <w:rFonts w:hint="eastAsia" w:ascii="仿宋_GB2312" w:hAnsi="仿宋" w:eastAsia="仿宋_GB2312" w:cs="Times New Roman"/>
                <w:color w:val="000000"/>
                <w:szCs w:val="21"/>
              </w:rPr>
            </w:pPr>
          </w:p>
        </w:tc>
      </w:tr>
      <w:tr w14:paraId="6036A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444" w:type="dxa"/>
            <w:gridSpan w:val="3"/>
            <w:vAlign w:val="center"/>
          </w:tcPr>
          <w:p w14:paraId="6F243A8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  <w:t>作  者</w:t>
            </w:r>
          </w:p>
          <w:p w14:paraId="5BE6C94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935" w:type="dxa"/>
            <w:gridSpan w:val="10"/>
            <w:vAlign w:val="center"/>
          </w:tcPr>
          <w:p w14:paraId="3FC385AD">
            <w:pPr>
              <w:spacing w:line="300" w:lineRule="exact"/>
              <w:jc w:val="left"/>
              <w:rPr>
                <w:rFonts w:hint="eastAsia" w:ascii="仿宋_GB2312" w:hAnsi="华文中宋" w:eastAsia="仿宋_GB2312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华文中宋" w:eastAsia="仿宋_GB2312" w:cs="Times New Roman"/>
                <w:color w:val="000000"/>
                <w:sz w:val="21"/>
                <w:szCs w:val="21"/>
                <w:lang w:eastAsia="zh-CN"/>
              </w:rPr>
              <w:t>集体（吕玉玺、陈文革、张国旗、汤伟芳）</w:t>
            </w:r>
          </w:p>
        </w:tc>
        <w:tc>
          <w:tcPr>
            <w:tcW w:w="996" w:type="dxa"/>
            <w:gridSpan w:val="4"/>
            <w:vAlign w:val="center"/>
          </w:tcPr>
          <w:p w14:paraId="4AEC0721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编辑</w:t>
            </w:r>
          </w:p>
        </w:tc>
        <w:tc>
          <w:tcPr>
            <w:tcW w:w="3256" w:type="dxa"/>
            <w:gridSpan w:val="6"/>
            <w:vAlign w:val="center"/>
          </w:tcPr>
          <w:p w14:paraId="5BDA4930">
            <w:pPr>
              <w:spacing w:line="300" w:lineRule="exact"/>
              <w:jc w:val="left"/>
              <w:rPr>
                <w:rFonts w:hint="eastAsia" w:ascii="仿宋" w:hAnsi="仿宋" w:eastAsia="仿宋" w:cs="Times New Roman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</w:rPr>
              <w:t>王冬梅、蔡江曼、张丽琴</w:t>
            </w:r>
          </w:p>
        </w:tc>
      </w:tr>
      <w:tr w14:paraId="447FC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44" w:type="dxa"/>
            <w:gridSpan w:val="3"/>
            <w:vAlign w:val="center"/>
          </w:tcPr>
          <w:p w14:paraId="2C79F53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原创单位</w:t>
            </w:r>
          </w:p>
        </w:tc>
        <w:tc>
          <w:tcPr>
            <w:tcW w:w="2677" w:type="dxa"/>
            <w:gridSpan w:val="6"/>
            <w:vAlign w:val="center"/>
          </w:tcPr>
          <w:p w14:paraId="5DC188D6">
            <w:pPr>
              <w:spacing w:line="300" w:lineRule="exact"/>
              <w:jc w:val="left"/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鹰潭市融媒体中心</w:t>
            </w:r>
          </w:p>
        </w:tc>
        <w:tc>
          <w:tcPr>
            <w:tcW w:w="1962" w:type="dxa"/>
            <w:gridSpan w:val="6"/>
            <w:vAlign w:val="center"/>
          </w:tcPr>
          <w:p w14:paraId="64AB609E">
            <w:pPr>
              <w:spacing w:line="300" w:lineRule="exact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发布端/账号/</w:t>
            </w:r>
          </w:p>
          <w:p w14:paraId="1DA6764D">
            <w:pPr>
              <w:spacing w:line="300" w:lineRule="exact"/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媒体名称</w:t>
            </w:r>
          </w:p>
        </w:tc>
        <w:tc>
          <w:tcPr>
            <w:tcW w:w="3548" w:type="dxa"/>
            <w:gridSpan w:val="8"/>
            <w:vAlign w:val="center"/>
          </w:tcPr>
          <w:p w14:paraId="161526D7">
            <w:pPr>
              <w:spacing w:line="300" w:lineRule="exact"/>
              <w:jc w:val="left"/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  <w:highlight w:val="none"/>
                <w:lang w:eastAsia="zh-CN"/>
              </w:rPr>
              <w:t>鹰潭日报</w:t>
            </w:r>
          </w:p>
        </w:tc>
      </w:tr>
      <w:tr w14:paraId="75413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2268" w:type="dxa"/>
            <w:gridSpan w:val="6"/>
            <w:vAlign w:val="center"/>
          </w:tcPr>
          <w:p w14:paraId="7546E08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刊播栏目或版面</w:t>
            </w:r>
          </w:p>
        </w:tc>
        <w:tc>
          <w:tcPr>
            <w:tcW w:w="4107" w:type="dxa"/>
            <w:gridSpan w:val="11"/>
            <w:vAlign w:val="center"/>
          </w:tcPr>
          <w:p w14:paraId="3B213BAB">
            <w:pPr>
              <w:spacing w:line="300" w:lineRule="exact"/>
              <w:jc w:val="lef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  <w:highlight w:val="none"/>
                <w:lang w:eastAsia="zh-CN"/>
              </w:rPr>
              <w:t>版</w:t>
            </w:r>
          </w:p>
        </w:tc>
        <w:tc>
          <w:tcPr>
            <w:tcW w:w="1418" w:type="dxa"/>
            <w:gridSpan w:val="3"/>
            <w:vAlign w:val="center"/>
          </w:tcPr>
          <w:p w14:paraId="04FADCAD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刊播日期</w:t>
            </w:r>
          </w:p>
        </w:tc>
        <w:tc>
          <w:tcPr>
            <w:tcW w:w="1838" w:type="dxa"/>
            <w:gridSpan w:val="3"/>
            <w:vAlign w:val="center"/>
          </w:tcPr>
          <w:p w14:paraId="26F08C40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2025年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14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 xml:space="preserve"> 日</w:t>
            </w:r>
          </w:p>
        </w:tc>
      </w:tr>
      <w:tr w14:paraId="478A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1444" w:type="dxa"/>
            <w:gridSpan w:val="3"/>
            <w:vAlign w:val="center"/>
          </w:tcPr>
          <w:p w14:paraId="6D8AEC42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新媒体作品网址</w:t>
            </w:r>
          </w:p>
        </w:tc>
        <w:tc>
          <w:tcPr>
            <w:tcW w:w="4639" w:type="dxa"/>
            <w:gridSpan w:val="12"/>
            <w:vAlign w:val="center"/>
          </w:tcPr>
          <w:p w14:paraId="059685E2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2834" w:type="dxa"/>
            <w:gridSpan w:val="7"/>
            <w:vAlign w:val="center"/>
          </w:tcPr>
          <w:p w14:paraId="7A9AE3C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是否为“三好作品”</w:t>
            </w:r>
          </w:p>
        </w:tc>
        <w:tc>
          <w:tcPr>
            <w:tcW w:w="714" w:type="dxa"/>
            <w:vAlign w:val="center"/>
          </w:tcPr>
          <w:p w14:paraId="2321175F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否</w:t>
            </w:r>
          </w:p>
        </w:tc>
      </w:tr>
      <w:tr w14:paraId="17DD9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989" w:type="dxa"/>
            <w:gridSpan w:val="2"/>
            <w:vAlign w:val="center"/>
          </w:tcPr>
          <w:p w14:paraId="62F2972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︵</w:t>
            </w:r>
          </w:p>
          <w:p w14:paraId="0F9D810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作采</w:t>
            </w:r>
          </w:p>
          <w:p w14:paraId="286B6C18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品编</w:t>
            </w:r>
          </w:p>
          <w:p w14:paraId="3C1E8EF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简过</w:t>
            </w:r>
          </w:p>
          <w:p w14:paraId="7B5E6C31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介程</w:t>
            </w:r>
          </w:p>
          <w:p w14:paraId="7069A04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︶</w:t>
            </w:r>
          </w:p>
        </w:tc>
        <w:tc>
          <w:tcPr>
            <w:tcW w:w="8642" w:type="dxa"/>
            <w:gridSpan w:val="21"/>
            <w:vAlign w:val="center"/>
          </w:tcPr>
          <w:p w14:paraId="21DC3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94" w:firstLineChars="200"/>
              <w:textAlignment w:val="auto"/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  <w:lang w:val="en-US" w:eastAsia="zh-CN"/>
              </w:rPr>
              <w:t>2023年以来，鹰潭市以110万人口的小城体量，实现GDP增速连续8个季度稳居全省第一，增长动能值得深度解码。为此，采编团队多方走访市统计局、市工信局等职能部门，又连日扎根辖区工业园区，走访重点企业挖掘鲜活素材，最终从产业赛道、产业焕新、平台赋能三个层面切入，倾力打造这篇全景式经济深度报道。</w:t>
            </w:r>
          </w:p>
        </w:tc>
      </w:tr>
      <w:tr w14:paraId="2023A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1" w:hRule="exact"/>
          <w:jc w:val="center"/>
        </w:trPr>
        <w:tc>
          <w:tcPr>
            <w:tcW w:w="989" w:type="dxa"/>
            <w:gridSpan w:val="2"/>
            <w:vAlign w:val="center"/>
          </w:tcPr>
          <w:p w14:paraId="2A4F3D2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社</w:t>
            </w:r>
          </w:p>
          <w:p w14:paraId="3CE8BA2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会</w:t>
            </w:r>
          </w:p>
          <w:p w14:paraId="473A7FF3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效</w:t>
            </w:r>
          </w:p>
          <w:p w14:paraId="2A4B6AF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果</w:t>
            </w:r>
          </w:p>
        </w:tc>
        <w:tc>
          <w:tcPr>
            <w:tcW w:w="8642" w:type="dxa"/>
            <w:gridSpan w:val="21"/>
            <w:vAlign w:val="center"/>
          </w:tcPr>
          <w:p w14:paraId="3392C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textAlignment w:val="auto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 报道聚焦鹰潭GDP增速持续领跑全省的亮眼实绩，一经推出便引发广泛关注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江西日报、大江网、鹰视天下客户端等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省市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主流媒体纷纷转载。作品以翔实数据筑牢支撑、用鲜活案例讲好故事，既强力提振鹰潭上下推进“小市大为”的奋进信心，充分彰显本地经济高质量发展的十足底气，更凝聚起全省聚力深耕实体经济、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推动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高质量发展的共识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。</w:t>
            </w:r>
          </w:p>
        </w:tc>
      </w:tr>
      <w:tr w14:paraId="14D4F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  <w:jc w:val="center"/>
        </w:trPr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4CB43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1C968609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55A0BFB1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12E6BA87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9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FC6B6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  <w:t>新媒体传播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平台网址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723F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C5BA7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https://app.ytnews.cn/webDetails/news?id=11612186&amp;tenantId=301&amp;uid=683f9d5d4c6dff00192afdd4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鹰视天下客户端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25D38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B0500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B9D34"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AA351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82296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https://jxrb.jxwmw.cn/system/2025/08/13/020956290.shtml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  <w:t>（大江网）</w:t>
            </w:r>
          </w:p>
        </w:tc>
      </w:tr>
      <w:tr w14:paraId="4C0BC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FC8DF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5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9FEAF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C5A17">
            <w:pPr>
              <w:spacing w:line="30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万+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8E805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转载量</w:t>
            </w:r>
          </w:p>
        </w:tc>
        <w:tc>
          <w:tcPr>
            <w:tcW w:w="1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9BC1D">
            <w:pPr>
              <w:spacing w:line="30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/>
                <w:color w:val="000000"/>
                <w:sz w:val="21"/>
                <w:szCs w:val="21"/>
                <w:lang w:val="en-US" w:eastAsia="zh-CN"/>
              </w:rPr>
              <w:t>125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29C7E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A86A2">
            <w:pPr>
              <w:spacing w:line="30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/>
                <w:color w:val="000000"/>
                <w:sz w:val="21"/>
                <w:szCs w:val="21"/>
                <w:lang w:val="en-US" w:eastAsia="zh-CN"/>
              </w:rPr>
              <w:t>682</w:t>
            </w:r>
          </w:p>
        </w:tc>
      </w:tr>
      <w:tr w14:paraId="491DE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5" w:hRule="exact"/>
          <w:jc w:val="center"/>
        </w:trPr>
        <w:tc>
          <w:tcPr>
            <w:tcW w:w="1444" w:type="dxa"/>
            <w:gridSpan w:val="3"/>
            <w:tcBorders>
              <w:bottom w:val="single" w:color="auto" w:sz="4" w:space="0"/>
            </w:tcBorders>
            <w:vAlign w:val="center"/>
          </w:tcPr>
          <w:p w14:paraId="31BD3A92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推荐理由</w:t>
            </w:r>
          </w:p>
        </w:tc>
        <w:tc>
          <w:tcPr>
            <w:tcW w:w="8187" w:type="dxa"/>
            <w:gridSpan w:val="20"/>
            <w:tcBorders>
              <w:bottom w:val="single" w:color="auto" w:sz="4" w:space="0"/>
            </w:tcBorders>
            <w:vAlign w:val="center"/>
          </w:tcPr>
          <w:p w14:paraId="2598E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94" w:firstLineChars="200"/>
              <w:textAlignment w:val="auto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  <w:lang w:eastAsia="zh-CN"/>
              </w:rPr>
              <w:t>去年以来，</w:t>
            </w: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</w:rPr>
              <w:t>中央</w:t>
            </w: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  <w:lang w:eastAsia="zh-CN"/>
              </w:rPr>
              <w:t>政治局有关</w:t>
            </w: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</w:rPr>
              <w:t>会议及今年全国宣传部长会议强调</w:t>
            </w: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  <w:lang w:eastAsia="zh-CN"/>
              </w:rPr>
              <w:t>要</w:t>
            </w: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</w:rPr>
              <w:t>把经济宣传摆在重要位置</w:t>
            </w: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</w:rPr>
              <w:t>唱响</w:t>
            </w: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  <w:lang w:eastAsia="zh-CN"/>
              </w:rPr>
              <w:t>中国</w:t>
            </w: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</w:rPr>
              <w:t>经济光明论</w:t>
            </w: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cs="Times New Roman"/>
                <w:color w:val="000000"/>
                <w:w w:val="95"/>
                <w:sz w:val="21"/>
                <w:szCs w:val="21"/>
                <w:lang w:eastAsia="zh-CN"/>
              </w:rPr>
              <w:t>该报道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以鹰潭GDP增速全省第一为切入点，深度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探究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经济高质量增长的核心密码。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面对外部环境复杂形势，报道全方位展现了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鹰潭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主导产业的硬核实力，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极大地提振了全市发展信心，弘扬了主旋律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。</w:t>
            </w:r>
          </w:p>
          <w:p w14:paraId="55C26058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</w:rPr>
              <w:t xml:space="preserve">                        </w:t>
            </w:r>
            <w:r>
              <w:rPr>
                <w:rFonts w:hint="eastAsia" w:ascii="仿宋" w:hAnsi="仿宋" w:cs="Times New Roman"/>
                <w:color w:val="000000"/>
                <w:spacing w:val="-2"/>
                <w:sz w:val="21"/>
                <w:szCs w:val="21"/>
                <w:lang w:eastAsia="zh-CN"/>
              </w:rPr>
              <w:t>单</w:t>
            </w: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</w:rPr>
              <w:t>位主要负责人签名：</w:t>
            </w:r>
            <w:r>
              <w:rPr>
                <w:rFonts w:hint="eastAsia" w:ascii="仿宋" w:hAnsi="仿宋" w:cs="Times New Roman"/>
                <w:color w:val="000000"/>
                <w:spacing w:val="-2"/>
                <w:sz w:val="21"/>
                <w:szCs w:val="21"/>
                <w:lang w:val="en-US" w:eastAsia="zh-CN"/>
              </w:rPr>
              <w:t xml:space="preserve">                 （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盖单位公章）</w:t>
            </w:r>
          </w:p>
          <w:p w14:paraId="1CF6F4E6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 xml:space="preserve">                                                    </w:t>
            </w:r>
            <w:r>
              <w:rPr>
                <w:rFonts w:hint="eastAsia" w:ascii="仿宋" w:hAnsi="仿宋" w:cs="Times New Roman"/>
                <w:color w:val="000000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cs="Times New Roman"/>
                <w:color w:val="000000"/>
                <w:sz w:val="21"/>
                <w:szCs w:val="21"/>
                <w:lang w:val="en-US" w:eastAsia="zh-CN"/>
              </w:rPr>
              <w:t>2026</w:t>
            </w:r>
            <w:r>
              <w:rPr>
                <w:rFonts w:ascii="仿宋" w:hAnsi="仿宋" w:eastAsia="仿宋" w:cs="Times New Roman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仿宋" w:hAnsi="仿宋" w:cs="Times New Roman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仿宋" w:hAnsi="仿宋" w:cs="Times New Roman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日</w:t>
            </w:r>
          </w:p>
        </w:tc>
      </w:tr>
      <w:tr w14:paraId="32722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  <w:jc w:val="center"/>
        </w:trPr>
        <w:tc>
          <w:tcPr>
            <w:tcW w:w="98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762B3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作者</w:t>
            </w:r>
          </w:p>
        </w:tc>
        <w:tc>
          <w:tcPr>
            <w:tcW w:w="2713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4E2A8">
            <w:pPr>
              <w:spacing w:line="300" w:lineRule="exact"/>
              <w:jc w:val="left"/>
              <w:rPr>
                <w:rFonts w:hint="eastAsia" w:ascii="仿宋" w:hAnsi="仿宋" w:eastAsia="仿宋" w:cs="Times New Roman"/>
                <w:color w:val="000000"/>
                <w:sz w:val="32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汤伟芳</w:t>
            </w:r>
          </w:p>
        </w:tc>
        <w:tc>
          <w:tcPr>
            <w:tcW w:w="120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57FC4D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手机</w:t>
            </w:r>
          </w:p>
        </w:tc>
        <w:tc>
          <w:tcPr>
            <w:tcW w:w="4729" w:type="dxa"/>
            <w:gridSpan w:val="1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771BCB">
            <w:pPr>
              <w:spacing w:line="300" w:lineRule="exact"/>
              <w:jc w:val="left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13870045763</w:t>
            </w:r>
          </w:p>
        </w:tc>
      </w:tr>
    </w:tbl>
    <w:p w14:paraId="78BECE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lang w:eastAsia="zh-CN"/>
        </w:rPr>
        <w:sectPr>
          <w:pgSz w:w="11906" w:h="16838"/>
          <w:pgMar w:top="1440" w:right="1797" w:bottom="1440" w:left="1797" w:header="851" w:footer="992" w:gutter="0"/>
          <w:cols w:space="0" w:num="1"/>
          <w:rtlGutter w:val="0"/>
          <w:docGrid w:type="linesAndChars" w:linePitch="410" w:charSpace="-601"/>
        </w:sectPr>
      </w:pPr>
    </w:p>
    <w:p w14:paraId="6BC82E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4648AE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drawing>
          <wp:inline distT="0" distB="0" distL="114300" distR="114300">
            <wp:extent cx="5276850" cy="5486400"/>
            <wp:effectExtent l="0" t="0" r="0" b="0"/>
            <wp:docPr id="1" name="图片 1" descr="微信图片_2026-01-13_180947_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6-01-13_180947_96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E68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721627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drawing>
          <wp:inline distT="0" distB="0" distL="114300" distR="114300">
            <wp:extent cx="5271135" cy="1979930"/>
            <wp:effectExtent l="0" t="0" r="5715" b="1270"/>
            <wp:docPr id="2" name="图片 2" descr="微信图片_2026-01-13_180954_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6-01-13_180954_2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97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B07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4737A7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通讯</w:t>
      </w:r>
    </w:p>
    <w:p w14:paraId="202E42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6D4A5B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攀高之路</w:t>
      </w:r>
    </w:p>
    <w:p w14:paraId="7446D2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jc w:val="center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——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透视鹰潭市地区生产总值持续增长的背后</w:t>
      </w:r>
    </w:p>
    <w:p w14:paraId="4E7866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作者：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集体（</w:t>
      </w:r>
      <w:r>
        <w:rPr>
          <w:rFonts w:hint="eastAsia" w:ascii="仿宋" w:hAnsi="仿宋" w:eastAsia="仿宋" w:cs="仿宋"/>
          <w:sz w:val="24"/>
          <w:szCs w:val="24"/>
        </w:rPr>
        <w:t>吕玉玺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陈文革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张国旗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汤伟芳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</w:t>
      </w:r>
    </w:p>
    <w:p w14:paraId="5AD1D0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编辑：王冬梅、蔡江曼、张丽琴</w:t>
      </w:r>
    </w:p>
    <w:p w14:paraId="202293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p w14:paraId="486F6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盛夏的鹰潭，发展的澎湃热潮涌动全城。</w:t>
      </w:r>
    </w:p>
    <w:p w14:paraId="1B454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2025年上半年，全市实现地区生产总值691.49亿元，按不变价格计算，同比增长6.8%，增速分别高于全国、全省平均水平1.5和1.2个百分点，排名全省第一。增长的背后，鹰潭发展底气与动力从何而来？市统计局副局长彭志强给出答案：今年上半年，尽管我市第一、三产业增速略有回落，但工业经济同比增长9.6%，拉动经济增长5.0个百分点，对经济增长的贡献率达73.8%。</w:t>
      </w:r>
    </w:p>
    <w:p w14:paraId="08C6F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从0.04毫米超薄铜带到产业焕新：瞄准铜产业赛道，久久为功</w:t>
      </w:r>
    </w:p>
    <w:p w14:paraId="4BC92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走进贵溪经济技术开发区，江西金泰合新材料科技有限公司的生产车间里，一卷卷高精度铜板带经过数十道工序后下线。“依托我省出台支持打造国家级铜基新材料集群，推动工业设备更新和技术改造等举措，我们的铜带工艺再次实现突破，现在能承接全型号高端定制订单。”公司技术负责人黄城拿起一卷0.04毫米的超薄铜带介绍，其精度比头发丝还细，不仅达到国际先进水平，更填补了鹰潭在极薄规格铜带量产领域的技术空白。其自主研发的智能控制系统与版型优化技术，让产品平整度较行业标准提升一倍，攻克了边浪、瓢曲等困扰行业多年的工艺难题。目前，该公司已成为华为、宁德时代、比亚迪等企业的供应商。</w:t>
      </w:r>
    </w:p>
    <w:p w14:paraId="0F76D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相距不远的新越产业园内，热火朝天的建设场景同样令人振奋。这个占地500亩的产业园区，见证着一家企业从单一制造向全产业链布局的转型历程。自2019年落子鹰潭以来，新越集团以“链式思维”深耕铜加工赛道：从年产15万吨高精铜板带项目起步，向上游延伸布局年产40万吨阳极铜、电解铜项目，向下游拓展铜基新材料深加工业务，逐步构建起“原料—加工—终端应用”的完整产业链条。</w:t>
      </w:r>
    </w:p>
    <w:p w14:paraId="451C6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“2021年产值突破100亿元，2024年飙升至500亿元，这得益于鹰潭全产业链生态的滋养。”新越集团副总经理刘刚感慨道。如今的新越产业园已吸引20余家配套企业入驻，形成从粗铜加工到高端铜箔的全流程生产能力，成为我市铜产业集群发展的范例。</w:t>
      </w:r>
    </w:p>
    <w:p w14:paraId="73553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从金泰合的“毫米级突破”到新越集团的“链式跃迁”，铜产业的蝶变背后，是我市数十年如一日对铜产业赛道的坚守。今年上半年，我市规上工业企业达637家，较去年末净增39家，实现营业收入2734.5亿元，增长12.5%。“其中，规上铜企业达284家，铜产业营收2502.65亿元，同比增长12.5%。”市工业和信息化局副局长艾国栋表示，铜产业作为我市主导产业不仅规模大，而且发展质量高，铜基新材料产量占比达50.4%，较去年末提高2个百分点。如今，全市正以更精密的制造、更完整的链条、更智能的生态，在铜基新材料领域书写着久久为功的发展答卷。</w:t>
      </w:r>
    </w:p>
    <w:p w14:paraId="0C0E8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从效率跃升30%到数智奔涌：深耕数字化转型，行稳致远</w:t>
      </w:r>
    </w:p>
    <w:p w14:paraId="3EF8E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江西中易微连新材料科技有限公司智能化生产车间里，机械臂精准作业，AGV机器人穿梭配送，送料、下料、检验、包装等多个场景已实现自动化运转。中央控制室的显示屏上，数字孪生系统实时呈现生产动态，每几秒刷新一次的生产数据如同跳动的脉搏，彰显着中易微连蓬勃的发展活力。</w:t>
      </w:r>
    </w:p>
    <w:p w14:paraId="2F704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“通过数字化转型，我们不仅实现生产效率提升30%、能耗降低33%、人力成本降低80%，更推动管理模式、体系建设、人才结构实现全面升级。”中易微连副总经理林波介绍，公司构建覆盖漆包线生产12个关键环节的智能制造体系，实现从智能无人生产线到自动包装仓储的全流程智能化覆盖。中易微连成功转型，是我市积极落实全省“1269”行动计划，加速推进制造业“智改数转”，为打造制造业强市蓄势赋能的生动写照。</w:t>
      </w:r>
    </w:p>
    <w:p w14:paraId="1834E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推进数字化转型，企业是核心主体。我市把调动企业积极性置于“数转”工作的首要位置，坚持以技改为先导，近三年累计实施技改项目400多个，76%规上企业完成改造，累计投入超1000亿元。</w:t>
      </w:r>
    </w:p>
    <w:p w14:paraId="21DDE5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“近年来，我市铜企业主动抓转型、上项目、扩规模的意愿十分强烈。”艾国栋表示，德鑫圆金属材料、力博科诚铜业已投资4期项目，鑫铂瑞科技、江南新材料等企业完成3期扩产，全市实现裂变式发展的企业超80家。在这一过程中，企业以市场需求为导向，不断调整发展方向——有的深耕上下游实现延链补链，有的向新领域新赛道拓展，既有纵向深耕也有横向拓展，传统产业不断“发新枝”，新兴产业连续“结硕果”。</w:t>
      </w:r>
    </w:p>
    <w:p w14:paraId="4C41B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在政府引导与企业投入的双向发力下，我市数字化转型成效显著：23家企业入选2025年度全省先进级智能工厂名单，数量居全省第一；江铜贵溪冶炼厂入围首批省级“数字领航”企业名单，鑫铂瑞、江铜贵溪冶炼厂入选工业和信息化部2024年实数融合典型案例名单……全市制造业数字化转型浪潮奔涌，向着“工业强市”的目标稳步迈进。</w:t>
      </w:r>
    </w:p>
    <w:p w14:paraId="3068B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从拿地即开工到平台赋能：聚焦改革创新，绵绵用力</w:t>
      </w:r>
    </w:p>
    <w:p w14:paraId="42088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“3个月开工、8个月投产，这样的速度让我们吃下了定心丸。”在鹰潭高新区，江西鑫铂瑞科技有限公司董事长陈晓东的感言，道出了企业对营商环境的认可。作为内陆城市，我市持续深化“放管服”改革，对标沿海发达地区安商服务理念，打造全链审批服务体系，全力唱响“鹰办尽办”营商环境品牌。通过强化项目建设的靠前指导与过程管理，实现拿地即开工，并不断优化涉企增值服务。</w:t>
      </w:r>
    </w:p>
    <w:p w14:paraId="10706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优质的营商环境换来企业的真金白银。数据显示，近三年鹰潭高新区累计签约项目166个，其中包括14个央企、上市公司投资项目；今年1至7月招引项目42个，超去年全年总量。在项目建设方面，今年上半年，全市亿元以上施工项目达165个，完成投资同比增长11.3%，占全部投资的比重为71.7%，拉动全部固定资产投资增长7.8个百分点，展现出强劲的发展后劲。</w:t>
      </w:r>
    </w:p>
    <w:p w14:paraId="25D7C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金融赋能是产业发展的重要支撑。今年2月，贵溪市辖区一家铜企因搬迁重建，遭遇原有抵押物价值缩水、流动资金短缺的困境。中国银行鹰潭市分行得知情况后，迅速启动“普惠金融绿色通道”，组建工作专班，仅用24小时就完成尽调报告编制，并创新采用组合担保模式，成功投放系统首笔铜加工压延产业场景信用贷款1000万元，保障企业顺利完成设备调试和产能爬坡。</w:t>
      </w:r>
    </w:p>
    <w:p w14:paraId="47868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“铜产业作为资金密集型产业，传统融资方式难以满足其发展需求。”市政府办副主任姚威介绍，为此，我市坚持问题导向，引导金融部门因地制宜创设“铜票通”、数智贷、转型票据等特色金融产品，全力支持企业开展产品创新、技术升级和装备迭代。截至目前，全市累计为472家企业提供资金826亿元，帮助企业降低成本2.74亿元；全市贷款余额增长16.97%，增速连续24个月居全省前列。金融活水的精准滴灌，为铜产业发展注入了旺盛生命力。</w:t>
      </w:r>
    </w:p>
    <w:p w14:paraId="20317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</w:rPr>
      </w:pPr>
      <w:r>
        <w:rPr>
          <w:rFonts w:hint="eastAsia" w:ascii="仿宋" w:hAnsi="仿宋" w:eastAsia="仿宋" w:cs="仿宋"/>
          <w:sz w:val="28"/>
          <w:szCs w:val="28"/>
        </w:rPr>
        <w:t>产业发展，人才是关键。面对铜产业曾有的发展粗放、产品附加值低、人才储备不足等问题，我市主动作为，以一系列实招硬招打造产业科创平台。依托“江西理工大学+江铜集团”紧密创新共同体，我市与国内20多所知名高校院所建立合作，推动70个省级以上创新平台落地生根。围绕产业链供应链的韧性与安全，全市集中力量攻关，先后突破50项关键核心和共性技术。其中，高张力高导电铜银合金线、微合金化高强高导铜锡合金线等一批“硬核”产品实现进口替代，让产业发展的“腰杆”更硬。艾国栋介绍：“目前，赣南实验室鹰潭中心已投入运行，下一步将加快建设有色金属全国重点实验室和铜产业大数据平台，推动铜产业从规模扩张到‘价值跃升’</w:t>
      </w:r>
      <w:r>
        <w:rPr>
          <w:rFonts w:hint="eastAsia" w:ascii="仿宋" w:hAnsi="仿宋" w:cs="仿宋"/>
          <w:sz w:val="28"/>
          <w:szCs w:val="28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华文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39"/>
  <w:drawingGridVerticalSpacing w:val="205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5MTJiNThlZjQ3NzQxNWJmMjFkMTgzYjE0ZjEwMTUifQ=="/>
  </w:docVars>
  <w:rsids>
    <w:rsidRoot w:val="00926BC2"/>
    <w:rsid w:val="00003DD9"/>
    <w:rsid w:val="000305E6"/>
    <w:rsid w:val="000C3809"/>
    <w:rsid w:val="000C68FB"/>
    <w:rsid w:val="000E643B"/>
    <w:rsid w:val="00123704"/>
    <w:rsid w:val="00133337"/>
    <w:rsid w:val="00133BCD"/>
    <w:rsid w:val="001421C1"/>
    <w:rsid w:val="001440A6"/>
    <w:rsid w:val="00144DF0"/>
    <w:rsid w:val="0019242E"/>
    <w:rsid w:val="001D0E22"/>
    <w:rsid w:val="002001CC"/>
    <w:rsid w:val="00223BBC"/>
    <w:rsid w:val="0024458D"/>
    <w:rsid w:val="002606C4"/>
    <w:rsid w:val="0026283A"/>
    <w:rsid w:val="002E0AD9"/>
    <w:rsid w:val="003371B0"/>
    <w:rsid w:val="0034035D"/>
    <w:rsid w:val="00346993"/>
    <w:rsid w:val="00365323"/>
    <w:rsid w:val="00367921"/>
    <w:rsid w:val="00395F8B"/>
    <w:rsid w:val="003A7D88"/>
    <w:rsid w:val="003B19AA"/>
    <w:rsid w:val="00403B28"/>
    <w:rsid w:val="00433816"/>
    <w:rsid w:val="00441C13"/>
    <w:rsid w:val="004C1ED1"/>
    <w:rsid w:val="004C3515"/>
    <w:rsid w:val="004F21DB"/>
    <w:rsid w:val="00517997"/>
    <w:rsid w:val="00534FCA"/>
    <w:rsid w:val="0054736E"/>
    <w:rsid w:val="0056711F"/>
    <w:rsid w:val="005937B0"/>
    <w:rsid w:val="005D1989"/>
    <w:rsid w:val="005D49D3"/>
    <w:rsid w:val="0064022F"/>
    <w:rsid w:val="0064261E"/>
    <w:rsid w:val="006933E8"/>
    <w:rsid w:val="006B0AE1"/>
    <w:rsid w:val="007050B1"/>
    <w:rsid w:val="007073E0"/>
    <w:rsid w:val="0074332E"/>
    <w:rsid w:val="00775798"/>
    <w:rsid w:val="0079161A"/>
    <w:rsid w:val="007C77C7"/>
    <w:rsid w:val="008935AB"/>
    <w:rsid w:val="008C03FE"/>
    <w:rsid w:val="00926BC2"/>
    <w:rsid w:val="00926E57"/>
    <w:rsid w:val="009367BD"/>
    <w:rsid w:val="009677C3"/>
    <w:rsid w:val="009A23C7"/>
    <w:rsid w:val="009C15CF"/>
    <w:rsid w:val="009D6149"/>
    <w:rsid w:val="009F3058"/>
    <w:rsid w:val="00A710FD"/>
    <w:rsid w:val="00AC1BA9"/>
    <w:rsid w:val="00AC5FC0"/>
    <w:rsid w:val="00AF5725"/>
    <w:rsid w:val="00B168B6"/>
    <w:rsid w:val="00B30C0D"/>
    <w:rsid w:val="00BA51D5"/>
    <w:rsid w:val="00BA609F"/>
    <w:rsid w:val="00BB3A4F"/>
    <w:rsid w:val="00BB6173"/>
    <w:rsid w:val="00BD5D7F"/>
    <w:rsid w:val="00BE5B19"/>
    <w:rsid w:val="00C05584"/>
    <w:rsid w:val="00C55055"/>
    <w:rsid w:val="00C738E3"/>
    <w:rsid w:val="00C86CF1"/>
    <w:rsid w:val="00D64361"/>
    <w:rsid w:val="00D67E4E"/>
    <w:rsid w:val="00D90026"/>
    <w:rsid w:val="00D978B7"/>
    <w:rsid w:val="00D97A32"/>
    <w:rsid w:val="00DA19CA"/>
    <w:rsid w:val="00DB7EB4"/>
    <w:rsid w:val="00E115C5"/>
    <w:rsid w:val="00E15627"/>
    <w:rsid w:val="00E2305B"/>
    <w:rsid w:val="00E807F5"/>
    <w:rsid w:val="00E82F0E"/>
    <w:rsid w:val="00EA235C"/>
    <w:rsid w:val="00EA4751"/>
    <w:rsid w:val="00EA5207"/>
    <w:rsid w:val="00EC1A77"/>
    <w:rsid w:val="00EE467F"/>
    <w:rsid w:val="00EF36AF"/>
    <w:rsid w:val="00F23A0A"/>
    <w:rsid w:val="00F52080"/>
    <w:rsid w:val="00F537D4"/>
    <w:rsid w:val="00F542F7"/>
    <w:rsid w:val="00F56869"/>
    <w:rsid w:val="00F82FC3"/>
    <w:rsid w:val="00F94E52"/>
    <w:rsid w:val="00FA0BC0"/>
    <w:rsid w:val="00FC2EEE"/>
    <w:rsid w:val="00FD48DE"/>
    <w:rsid w:val="00FD7C8E"/>
    <w:rsid w:val="00FF0F1A"/>
    <w:rsid w:val="00FF76E5"/>
    <w:rsid w:val="019F1377"/>
    <w:rsid w:val="02450B1A"/>
    <w:rsid w:val="03F434D0"/>
    <w:rsid w:val="04C14C17"/>
    <w:rsid w:val="061204D7"/>
    <w:rsid w:val="073E6F3C"/>
    <w:rsid w:val="09242161"/>
    <w:rsid w:val="0CBD0903"/>
    <w:rsid w:val="0DD26630"/>
    <w:rsid w:val="0DE95727"/>
    <w:rsid w:val="10635C65"/>
    <w:rsid w:val="185F31B6"/>
    <w:rsid w:val="18B74DA0"/>
    <w:rsid w:val="19D83220"/>
    <w:rsid w:val="1F3802BD"/>
    <w:rsid w:val="1FDB75C6"/>
    <w:rsid w:val="1FDE4651"/>
    <w:rsid w:val="243948BB"/>
    <w:rsid w:val="251D6943"/>
    <w:rsid w:val="258F1EBC"/>
    <w:rsid w:val="2CAE29F1"/>
    <w:rsid w:val="2CBC532B"/>
    <w:rsid w:val="2F61116A"/>
    <w:rsid w:val="2FAE0621"/>
    <w:rsid w:val="2FC067ED"/>
    <w:rsid w:val="344A48C2"/>
    <w:rsid w:val="36FB8357"/>
    <w:rsid w:val="3AA67017"/>
    <w:rsid w:val="3C3C2D43"/>
    <w:rsid w:val="45856921"/>
    <w:rsid w:val="45B313E3"/>
    <w:rsid w:val="46D07867"/>
    <w:rsid w:val="475A6773"/>
    <w:rsid w:val="4A1D5888"/>
    <w:rsid w:val="4B517E8D"/>
    <w:rsid w:val="56400B50"/>
    <w:rsid w:val="59441031"/>
    <w:rsid w:val="5CD821BC"/>
    <w:rsid w:val="5F6C0089"/>
    <w:rsid w:val="636A10AA"/>
    <w:rsid w:val="673D5A3D"/>
    <w:rsid w:val="67FEE7F8"/>
    <w:rsid w:val="68EB3277"/>
    <w:rsid w:val="753A35BC"/>
    <w:rsid w:val="759058D2"/>
    <w:rsid w:val="765037B4"/>
    <w:rsid w:val="799D0DC3"/>
    <w:rsid w:val="7FD6A0C2"/>
    <w:rsid w:val="9B5B673F"/>
    <w:rsid w:val="C95BB5C8"/>
    <w:rsid w:val="CD5B4558"/>
    <w:rsid w:val="EB7F2EFD"/>
    <w:rsid w:val="FD7B9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Ascii" w:hAnsiTheme="minorAscii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3488</Words>
  <Characters>3898</Characters>
  <Lines>64</Lines>
  <Paragraphs>76</Paragraphs>
  <TotalTime>17</TotalTime>
  <ScaleCrop>false</ScaleCrop>
  <LinksUpToDate>false</LinksUpToDate>
  <CharactersWithSpaces>4009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2024-01-22T15:11:00Z</dcterms:created>
  <dc:creator>听 林</dc:creator>
  <cp:lastModifiedBy>牧风</cp:lastModifiedBy>
  <cp:lastPrinted>2025-01-16T16:31:00Z</cp:lastPrinted>
  <dcterms:modified xsi:type="dcterms:W3CDTF">2026-01-17T23:35:05Z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eyJoZGlkIjoiMGQ1NzBhNzEzMzI3N2ZjOWU0YmEwZDk5NmZkMTkyYTMiLCJ1c2VySWQiOiIzMDc2NzE1OTcifQ==</vt:lpwstr>
  </property>
  <property fmtid="{D5CDD505-2E9C-101B-9397-08002B2CF9AE}" pid="3" name="KSOProductBuildVer">
    <vt:lpwstr>2052-12.8.2.1115</vt:lpwstr>
  </property>
  <property fmtid="{D5CDD505-2E9C-101B-9397-08002B2CF9AE}" pid="4" name="ICV">
    <vt:lpwstr>796EC2470501484A865B22281B39BBB2_13</vt:lpwstr>
  </property>
</Properties>
</file>