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FE20BC">
      <w:pPr>
        <w:spacing w:afterLines="50" w:line="600" w:lineRule="exact"/>
        <w:jc w:val="center"/>
        <w:rPr>
          <w:rFonts w:ascii="华文中宋" w:hAnsi="华文中宋" w:eastAsia="华文中宋" w:cs="方正小标宋简体"/>
          <w:color w:val="000000"/>
          <w:sz w:val="36"/>
          <w:szCs w:val="36"/>
        </w:rPr>
      </w:pPr>
      <w:r>
        <w:rPr>
          <w:rFonts w:hint="eastAsia" w:ascii="华文中宋" w:hAnsi="华文中宋" w:eastAsia="华文中宋" w:cs="方正小标宋简体"/>
          <w:color w:val="000000"/>
          <w:sz w:val="36"/>
          <w:szCs w:val="36"/>
        </w:rPr>
        <w:t>参评作品推荐表</w:t>
      </w:r>
    </w:p>
    <w:tbl>
      <w:tblPr>
        <w:tblStyle w:val="5"/>
        <w:tblW w:w="93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4"/>
        <w:gridCol w:w="272"/>
        <w:gridCol w:w="439"/>
        <w:gridCol w:w="244"/>
        <w:gridCol w:w="412"/>
        <w:gridCol w:w="138"/>
        <w:gridCol w:w="952"/>
        <w:gridCol w:w="434"/>
        <w:gridCol w:w="405"/>
        <w:gridCol w:w="531"/>
        <w:gridCol w:w="224"/>
        <w:gridCol w:w="71"/>
        <w:gridCol w:w="389"/>
        <w:gridCol w:w="275"/>
        <w:gridCol w:w="470"/>
        <w:gridCol w:w="77"/>
        <w:gridCol w:w="142"/>
        <w:gridCol w:w="541"/>
        <w:gridCol w:w="143"/>
        <w:gridCol w:w="687"/>
        <w:gridCol w:w="272"/>
        <w:gridCol w:w="811"/>
        <w:gridCol w:w="695"/>
      </w:tblGrid>
      <w:tr w14:paraId="26596A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2" w:hRule="exact"/>
          <w:jc w:val="center"/>
        </w:trPr>
        <w:tc>
          <w:tcPr>
            <w:tcW w:w="1395" w:type="dxa"/>
            <w:gridSpan w:val="3"/>
            <w:vAlign w:val="center"/>
          </w:tcPr>
          <w:p w14:paraId="2B489D2C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作品标题</w:t>
            </w:r>
          </w:p>
        </w:tc>
        <w:tc>
          <w:tcPr>
            <w:tcW w:w="3411" w:type="dxa"/>
            <w:gridSpan w:val="9"/>
            <w:vAlign w:val="center"/>
          </w:tcPr>
          <w:p w14:paraId="5EC3382B">
            <w:pPr>
              <w:spacing w:line="300" w:lineRule="exact"/>
              <w:rPr>
                <w:rFonts w:ascii="仿宋" w:hAnsi="仿宋" w:eastAsia="仿宋"/>
                <w:sz w:val="21"/>
                <w:szCs w:val="21"/>
              </w:rPr>
            </w:pPr>
            <w:r>
              <w:rPr>
                <w:rFonts w:hint="eastAsia" w:ascii="仿宋" w:hAnsi="仿宋" w:eastAsia="仿宋" w:cs="华文中宋"/>
                <w:bCs/>
                <w:color w:val="000000"/>
                <w:sz w:val="21"/>
                <w:szCs w:val="21"/>
                <w:shd w:val="clear" w:color="auto" w:fill="FFFFFF"/>
              </w:rPr>
              <w:t>双榜领跑！解码“铜都”民企活力</w:t>
            </w:r>
          </w:p>
        </w:tc>
        <w:tc>
          <w:tcPr>
            <w:tcW w:w="1894" w:type="dxa"/>
            <w:gridSpan w:val="6"/>
            <w:vAlign w:val="center"/>
          </w:tcPr>
          <w:p w14:paraId="196F658B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参评项目</w:t>
            </w:r>
          </w:p>
          <w:p w14:paraId="6C28D236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（刊发形式）</w:t>
            </w:r>
          </w:p>
        </w:tc>
        <w:tc>
          <w:tcPr>
            <w:tcW w:w="2608" w:type="dxa"/>
            <w:gridSpan w:val="5"/>
            <w:vAlign w:val="center"/>
          </w:tcPr>
          <w:p w14:paraId="3569DC13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通讯（报刊）</w:t>
            </w:r>
          </w:p>
        </w:tc>
      </w:tr>
      <w:tr w14:paraId="150AA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  <w:jc w:val="center"/>
        </w:trPr>
        <w:tc>
          <w:tcPr>
            <w:tcW w:w="1395" w:type="dxa"/>
            <w:gridSpan w:val="3"/>
            <w:vAlign w:val="center"/>
          </w:tcPr>
          <w:p w14:paraId="792C8346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</w:rPr>
              <w:t>字数</w:t>
            </w:r>
            <w:r>
              <w:rPr>
                <w:rFonts w:ascii="华文中宋" w:hAnsi="华文中宋" w:eastAsia="华文中宋"/>
                <w:color w:val="000000"/>
                <w:sz w:val="24"/>
              </w:rPr>
              <w:t>/</w:t>
            </w:r>
            <w:r>
              <w:rPr>
                <w:rFonts w:hint="eastAsia" w:ascii="华文中宋" w:hAnsi="华文中宋" w:eastAsia="华文中宋"/>
                <w:color w:val="000000"/>
                <w:sz w:val="24"/>
              </w:rPr>
              <w:t>时长</w:t>
            </w:r>
          </w:p>
        </w:tc>
        <w:tc>
          <w:tcPr>
            <w:tcW w:w="3411" w:type="dxa"/>
            <w:gridSpan w:val="9"/>
            <w:vAlign w:val="center"/>
          </w:tcPr>
          <w:p w14:paraId="4DF91E17">
            <w:pPr>
              <w:spacing w:line="240" w:lineRule="exact"/>
              <w:rPr>
                <w:rFonts w:hint="eastAsia" w:ascii="仿宋" w:hAnsi="仿宋" w:eastAsia="仿宋"/>
                <w:color w:val="000000"/>
                <w:sz w:val="21"/>
                <w:szCs w:val="21"/>
                <w:lang w:eastAsia="zh-CN"/>
              </w:rPr>
            </w:pPr>
            <w:r>
              <w:rPr>
                <w:rFonts w:ascii="仿宋" w:hAnsi="仿宋" w:eastAsia="仿宋" w:cs="仿宋"/>
                <w:color w:val="000000"/>
                <w:sz w:val="21"/>
                <w:szCs w:val="21"/>
              </w:rPr>
              <w:t>2752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  <w:lang w:eastAsia="zh-CN"/>
              </w:rPr>
              <w:t>字</w:t>
            </w:r>
          </w:p>
        </w:tc>
        <w:tc>
          <w:tcPr>
            <w:tcW w:w="1211" w:type="dxa"/>
            <w:gridSpan w:val="4"/>
            <w:vAlign w:val="center"/>
          </w:tcPr>
          <w:p w14:paraId="7BC5FF0D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体裁</w:t>
            </w:r>
          </w:p>
        </w:tc>
        <w:tc>
          <w:tcPr>
            <w:tcW w:w="3291" w:type="dxa"/>
            <w:gridSpan w:val="7"/>
            <w:vAlign w:val="center"/>
          </w:tcPr>
          <w:p w14:paraId="63F92E2D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bookmarkStart w:id="0" w:name="_GoBack"/>
            <w:bookmarkEnd w:id="0"/>
          </w:p>
        </w:tc>
      </w:tr>
      <w:tr w14:paraId="3175E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  <w:jc w:val="center"/>
        </w:trPr>
        <w:tc>
          <w:tcPr>
            <w:tcW w:w="1395" w:type="dxa"/>
            <w:gridSpan w:val="3"/>
            <w:vAlign w:val="center"/>
          </w:tcPr>
          <w:p w14:paraId="4A118441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pacing w:val="-12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  <w:t>作</w:t>
            </w:r>
            <w:r>
              <w:rPr>
                <w:rFonts w:ascii="华文中宋" w:hAnsi="华文中宋" w:eastAsia="华文中宋"/>
                <w:color w:val="000000"/>
                <w:spacing w:val="-12"/>
                <w:sz w:val="28"/>
              </w:rPr>
              <w:t xml:space="preserve">  </w:t>
            </w:r>
            <w:r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  <w:t>者</w:t>
            </w:r>
          </w:p>
          <w:p w14:paraId="30FE4AA2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pacing w:val="-12"/>
                <w:sz w:val="24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22"/>
              </w:rPr>
              <w:t>（主创人员）</w:t>
            </w:r>
          </w:p>
        </w:tc>
        <w:tc>
          <w:tcPr>
            <w:tcW w:w="3800" w:type="dxa"/>
            <w:gridSpan w:val="10"/>
            <w:vAlign w:val="center"/>
          </w:tcPr>
          <w:p w14:paraId="19431B84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sz w:val="21"/>
                <w:szCs w:val="21"/>
              </w:rPr>
              <w:t>周乐丰、张俊娟、李宝华</w:t>
            </w:r>
          </w:p>
        </w:tc>
        <w:tc>
          <w:tcPr>
            <w:tcW w:w="964" w:type="dxa"/>
            <w:gridSpan w:val="4"/>
            <w:vAlign w:val="center"/>
          </w:tcPr>
          <w:p w14:paraId="408E9481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编辑</w:t>
            </w:r>
          </w:p>
        </w:tc>
        <w:tc>
          <w:tcPr>
            <w:tcW w:w="3149" w:type="dxa"/>
            <w:gridSpan w:val="6"/>
            <w:vAlign w:val="center"/>
          </w:tcPr>
          <w:p w14:paraId="69826002">
            <w:pPr>
              <w:spacing w:line="300" w:lineRule="exact"/>
              <w:rPr>
                <w:rFonts w:ascii="仿宋" w:hAnsi="仿宋" w:eastAsia="仿宋"/>
                <w:color w:val="000000"/>
                <w:w w:val="95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陈文革、王冬梅、冯晓丹</w:t>
            </w:r>
          </w:p>
        </w:tc>
      </w:tr>
      <w:tr w14:paraId="231B0D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1395" w:type="dxa"/>
            <w:gridSpan w:val="3"/>
            <w:vAlign w:val="center"/>
          </w:tcPr>
          <w:p w14:paraId="7BD18391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原创单位</w:t>
            </w:r>
          </w:p>
        </w:tc>
        <w:tc>
          <w:tcPr>
            <w:tcW w:w="2585" w:type="dxa"/>
            <w:gridSpan w:val="6"/>
            <w:vAlign w:val="center"/>
          </w:tcPr>
          <w:p w14:paraId="5768E454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鹰潭市融媒体中心</w:t>
            </w:r>
          </w:p>
        </w:tc>
        <w:tc>
          <w:tcPr>
            <w:tcW w:w="1960" w:type="dxa"/>
            <w:gridSpan w:val="6"/>
            <w:vAlign w:val="center"/>
          </w:tcPr>
          <w:p w14:paraId="2AF9697E">
            <w:pPr>
              <w:spacing w:line="300" w:lineRule="exact"/>
              <w:rPr>
                <w:rFonts w:ascii="华文中宋" w:hAnsi="华文中宋" w:eastAsia="华文中宋"/>
                <w:color w:val="000000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发布端</w:t>
            </w:r>
            <w:r>
              <w:rPr>
                <w:rFonts w:ascii="华文中宋" w:hAnsi="华文中宋" w:eastAsia="华文中宋"/>
                <w:color w:val="000000"/>
                <w:sz w:val="28"/>
                <w:szCs w:val="28"/>
              </w:rPr>
              <w:t>/</w:t>
            </w: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账号</w:t>
            </w:r>
            <w:r>
              <w:rPr>
                <w:rFonts w:ascii="华文中宋" w:hAnsi="华文中宋" w:eastAsia="华文中宋"/>
                <w:color w:val="000000"/>
                <w:sz w:val="28"/>
                <w:szCs w:val="28"/>
              </w:rPr>
              <w:t>/</w:t>
            </w:r>
          </w:p>
          <w:p w14:paraId="42BA4533">
            <w:pPr>
              <w:spacing w:line="300" w:lineRule="exact"/>
              <w:rPr>
                <w:rFonts w:ascii="仿宋_GB2312" w:hAnsi="仿宋" w:eastAsia="仿宋_GB2312"/>
                <w:color w:val="000000"/>
                <w:sz w:val="18"/>
                <w:szCs w:val="18"/>
                <w:highlight w:val="gree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媒体名称</w:t>
            </w:r>
          </w:p>
        </w:tc>
        <w:tc>
          <w:tcPr>
            <w:tcW w:w="3368" w:type="dxa"/>
            <w:gridSpan w:val="8"/>
            <w:vAlign w:val="center"/>
          </w:tcPr>
          <w:p w14:paraId="73BB9975">
            <w:pPr>
              <w:spacing w:line="260" w:lineRule="exact"/>
              <w:rPr>
                <w:rFonts w:ascii="仿宋" w:hAnsi="仿宋" w:eastAsia="仿宋"/>
                <w:color w:val="000000"/>
                <w:sz w:val="21"/>
                <w:szCs w:val="21"/>
                <w:highlight w:val="green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鹰潭日报</w:t>
            </w:r>
          </w:p>
        </w:tc>
      </w:tr>
      <w:tr w14:paraId="2827D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" w:hRule="exact"/>
          <w:jc w:val="center"/>
        </w:trPr>
        <w:tc>
          <w:tcPr>
            <w:tcW w:w="2189" w:type="dxa"/>
            <w:gridSpan w:val="6"/>
            <w:vAlign w:val="center"/>
          </w:tcPr>
          <w:p w14:paraId="1639AF77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刊播栏目或版面</w:t>
            </w:r>
          </w:p>
        </w:tc>
        <w:tc>
          <w:tcPr>
            <w:tcW w:w="3970" w:type="dxa"/>
            <w:gridSpan w:val="11"/>
            <w:vAlign w:val="center"/>
          </w:tcPr>
          <w:p w14:paraId="16F50790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一版</w:t>
            </w:r>
          </w:p>
        </w:tc>
        <w:tc>
          <w:tcPr>
            <w:tcW w:w="1371" w:type="dxa"/>
            <w:gridSpan w:val="3"/>
            <w:vAlign w:val="center"/>
          </w:tcPr>
          <w:p w14:paraId="5EF20578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刊播日期</w:t>
            </w:r>
          </w:p>
        </w:tc>
        <w:tc>
          <w:tcPr>
            <w:tcW w:w="1778" w:type="dxa"/>
            <w:gridSpan w:val="3"/>
            <w:vAlign w:val="center"/>
          </w:tcPr>
          <w:p w14:paraId="3B531B25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2025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年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11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月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2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日</w:t>
            </w:r>
          </w:p>
        </w:tc>
      </w:tr>
      <w:tr w14:paraId="26A644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6" w:hRule="exact"/>
          <w:jc w:val="center"/>
        </w:trPr>
        <w:tc>
          <w:tcPr>
            <w:tcW w:w="1395" w:type="dxa"/>
            <w:gridSpan w:val="3"/>
            <w:vAlign w:val="center"/>
          </w:tcPr>
          <w:p w14:paraId="6F6E829F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新媒体作品网址</w:t>
            </w:r>
          </w:p>
        </w:tc>
        <w:tc>
          <w:tcPr>
            <w:tcW w:w="4545" w:type="dxa"/>
            <w:gridSpan w:val="12"/>
            <w:vAlign w:val="center"/>
          </w:tcPr>
          <w:p w14:paraId="1671FA6C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</w:p>
        </w:tc>
        <w:tc>
          <w:tcPr>
            <w:tcW w:w="2673" w:type="dxa"/>
            <w:gridSpan w:val="7"/>
            <w:vAlign w:val="center"/>
          </w:tcPr>
          <w:p w14:paraId="17969CCF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是否为“三好作品”</w:t>
            </w:r>
          </w:p>
        </w:tc>
        <w:tc>
          <w:tcPr>
            <w:tcW w:w="695" w:type="dxa"/>
            <w:vAlign w:val="center"/>
          </w:tcPr>
          <w:p w14:paraId="2FB1F5D7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否</w:t>
            </w:r>
          </w:p>
        </w:tc>
      </w:tr>
      <w:tr w14:paraId="079801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3" w:hRule="atLeast"/>
          <w:jc w:val="center"/>
        </w:trPr>
        <w:tc>
          <w:tcPr>
            <w:tcW w:w="956" w:type="dxa"/>
            <w:gridSpan w:val="2"/>
            <w:vAlign w:val="center"/>
          </w:tcPr>
          <w:p w14:paraId="1EA2EC53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︵</w:t>
            </w:r>
          </w:p>
          <w:p w14:paraId="2B8DB5E8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作采</w:t>
            </w:r>
          </w:p>
          <w:p w14:paraId="5F8B6B4F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品编</w:t>
            </w:r>
          </w:p>
          <w:p w14:paraId="1CDB0DDA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简过</w:t>
            </w:r>
          </w:p>
          <w:p w14:paraId="0EDA4CD3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介程</w:t>
            </w:r>
          </w:p>
          <w:p w14:paraId="5CD2149E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︶</w:t>
            </w:r>
          </w:p>
        </w:tc>
        <w:tc>
          <w:tcPr>
            <w:tcW w:w="8352" w:type="dxa"/>
            <w:gridSpan w:val="21"/>
            <w:vAlign w:val="center"/>
          </w:tcPr>
          <w:p w14:paraId="21142783">
            <w:pPr>
              <w:spacing w:line="300" w:lineRule="exact"/>
              <w:ind w:firstLine="416" w:firstLineChars="200"/>
              <w:rPr>
                <w:rFonts w:ascii="仿宋" w:hAnsi="仿宋" w:eastAsia="仿宋"/>
                <w:color w:val="000000"/>
                <w:w w:val="95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作品以鹰潭在“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2025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江西民营企业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100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强”“江西制造业民营企业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100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强”双榜领跑为切入点，从“冠军企业硬核实力”“独特产业生态系统”“创新驱动转型升级”“服务型政府贴身护航”四大维度，深度解码“世界铜都”如何突破城市规模限制，孕育出民营经济发展高地的内在逻辑，生动呈现鹰潭民企扎根产业、政府精准赋能的双向奔赴图景。</w:t>
            </w:r>
          </w:p>
        </w:tc>
      </w:tr>
      <w:tr w14:paraId="1106F0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31" w:hRule="exact"/>
          <w:jc w:val="center"/>
        </w:trPr>
        <w:tc>
          <w:tcPr>
            <w:tcW w:w="956" w:type="dxa"/>
            <w:gridSpan w:val="2"/>
            <w:vAlign w:val="center"/>
          </w:tcPr>
          <w:p w14:paraId="171B867D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社</w:t>
            </w:r>
          </w:p>
          <w:p w14:paraId="085953CE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会</w:t>
            </w:r>
          </w:p>
          <w:p w14:paraId="16EDFEDF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效</w:t>
            </w:r>
          </w:p>
          <w:p w14:paraId="0E3D9528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果</w:t>
            </w:r>
          </w:p>
        </w:tc>
        <w:tc>
          <w:tcPr>
            <w:tcW w:w="8352" w:type="dxa"/>
            <w:gridSpan w:val="21"/>
            <w:vAlign w:val="center"/>
          </w:tcPr>
          <w:p w14:paraId="0BC34FAF">
            <w:pPr>
              <w:spacing w:line="300" w:lineRule="exact"/>
              <w:ind w:firstLine="416" w:firstLineChars="200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作品首次系统梳理鹰潭民营经济发展密码，将“小城大民企”的特色样本推向公众视野，打破“城市规模决定发展高度”的固有认知，为同类中小城市产业升级提供具象参考。以故事化叙事让“链群配”发展策略、“工创贷”“浙商贷”等惠企政策具象化，既让民营企业清晰感知政策温度，也为地方政府优化营商环境提供了可复制的实践范本。作品先后被《鹰潭统战》等新媒体转载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,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在《当代江西》微信公众号点击量达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10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万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+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。</w:t>
            </w:r>
          </w:p>
        </w:tc>
      </w:tr>
      <w:tr w14:paraId="12475F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6" w:hRule="exact"/>
          <w:jc w:val="center"/>
        </w:trPr>
        <w:tc>
          <w:tcPr>
            <w:tcW w:w="684" w:type="dxa"/>
            <w:vMerge w:val="restart"/>
            <w:vAlign w:val="center"/>
          </w:tcPr>
          <w:p w14:paraId="0B42B02B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传</w:t>
            </w:r>
          </w:p>
          <w:p w14:paraId="2BA4205F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播</w:t>
            </w:r>
          </w:p>
          <w:p w14:paraId="5E7848F3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数</w:t>
            </w:r>
          </w:p>
          <w:p w14:paraId="112DFFF5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据</w:t>
            </w:r>
          </w:p>
        </w:tc>
        <w:tc>
          <w:tcPr>
            <w:tcW w:w="955" w:type="dxa"/>
            <w:gridSpan w:val="3"/>
            <w:vMerge w:val="restart"/>
            <w:vAlign w:val="center"/>
          </w:tcPr>
          <w:p w14:paraId="36BB59BE">
            <w:pPr>
              <w:spacing w:line="300" w:lineRule="exact"/>
              <w:jc w:val="center"/>
              <w:rPr>
                <w:rFonts w:ascii="仿宋" w:hAnsi="仿宋" w:eastAsia="仿宋" w:cs="仿宋"/>
                <w:color w:val="000000"/>
                <w:spacing w:val="-1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pacing w:val="-10"/>
                <w:sz w:val="21"/>
                <w:szCs w:val="21"/>
              </w:rPr>
              <w:t>新媒体传播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平台网址</w:t>
            </w:r>
          </w:p>
        </w:tc>
        <w:tc>
          <w:tcPr>
            <w:tcW w:w="412" w:type="dxa"/>
            <w:vAlign w:val="center"/>
          </w:tcPr>
          <w:p w14:paraId="77A1375C">
            <w:pPr>
              <w:spacing w:line="300" w:lineRule="exact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000000"/>
                <w:sz w:val="21"/>
                <w:szCs w:val="21"/>
              </w:rPr>
              <w:t>1</w:t>
            </w:r>
          </w:p>
        </w:tc>
        <w:tc>
          <w:tcPr>
            <w:tcW w:w="7257" w:type="dxa"/>
            <w:gridSpan w:val="18"/>
            <w:vAlign w:val="center"/>
          </w:tcPr>
          <w:p w14:paraId="1614827C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https://mp.weixin.qq.com/s/ruX8doiU_ZveUcSR7hmb5g</w:t>
            </w:r>
          </w:p>
        </w:tc>
      </w:tr>
      <w:tr w14:paraId="3131EC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1" w:hRule="atLeast"/>
          <w:jc w:val="center"/>
        </w:trPr>
        <w:tc>
          <w:tcPr>
            <w:tcW w:w="684" w:type="dxa"/>
            <w:vMerge w:val="continue"/>
            <w:vAlign w:val="center"/>
          </w:tcPr>
          <w:p w14:paraId="67973229">
            <w:pPr>
              <w:widowControl/>
              <w:spacing w:line="300" w:lineRule="exact"/>
              <w:jc w:val="left"/>
              <w:rPr>
                <w:rFonts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955" w:type="dxa"/>
            <w:gridSpan w:val="3"/>
            <w:vMerge w:val="continue"/>
            <w:vAlign w:val="center"/>
          </w:tcPr>
          <w:p w14:paraId="6F5E4F9D">
            <w:pPr>
              <w:widowControl/>
              <w:spacing w:line="300" w:lineRule="exact"/>
              <w:jc w:val="left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</w:p>
        </w:tc>
        <w:tc>
          <w:tcPr>
            <w:tcW w:w="412" w:type="dxa"/>
            <w:vAlign w:val="center"/>
          </w:tcPr>
          <w:p w14:paraId="3D960477">
            <w:pPr>
              <w:spacing w:line="300" w:lineRule="exact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000000"/>
                <w:sz w:val="21"/>
                <w:szCs w:val="21"/>
              </w:rPr>
              <w:t>2</w:t>
            </w:r>
          </w:p>
        </w:tc>
        <w:tc>
          <w:tcPr>
            <w:tcW w:w="7257" w:type="dxa"/>
            <w:gridSpan w:val="18"/>
            <w:vAlign w:val="center"/>
          </w:tcPr>
          <w:p w14:paraId="69AC3A57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https://app.ytnews.cn/webDetails/news?id=12615642&amp;tenantId=301&amp;uid=6846282f47da6000197ce1c8</w:t>
            </w:r>
          </w:p>
        </w:tc>
      </w:tr>
      <w:tr w14:paraId="2F88E7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1" w:hRule="atLeast"/>
          <w:jc w:val="center"/>
        </w:trPr>
        <w:tc>
          <w:tcPr>
            <w:tcW w:w="684" w:type="dxa"/>
            <w:vMerge w:val="continue"/>
            <w:vAlign w:val="center"/>
          </w:tcPr>
          <w:p w14:paraId="22E1FF2C">
            <w:pPr>
              <w:widowControl/>
              <w:spacing w:line="300" w:lineRule="exact"/>
              <w:jc w:val="left"/>
              <w:rPr>
                <w:rFonts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955" w:type="dxa"/>
            <w:gridSpan w:val="3"/>
            <w:vMerge w:val="continue"/>
            <w:vAlign w:val="center"/>
          </w:tcPr>
          <w:p w14:paraId="5E192CFB">
            <w:pPr>
              <w:widowControl/>
              <w:spacing w:line="300" w:lineRule="exact"/>
              <w:jc w:val="left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</w:p>
        </w:tc>
        <w:tc>
          <w:tcPr>
            <w:tcW w:w="412" w:type="dxa"/>
            <w:vAlign w:val="center"/>
          </w:tcPr>
          <w:p w14:paraId="6BD0D9B2">
            <w:pPr>
              <w:spacing w:line="300" w:lineRule="exact"/>
              <w:rPr>
                <w:rFonts w:hint="eastAsia" w:ascii="仿宋" w:hAnsi="仿宋" w:eastAsia="仿宋" w:cs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7257" w:type="dxa"/>
            <w:gridSpan w:val="18"/>
            <w:vAlign w:val="center"/>
          </w:tcPr>
          <w:p w14:paraId="143CD8A7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</w:p>
        </w:tc>
      </w:tr>
      <w:tr w14:paraId="571E50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exact"/>
          <w:jc w:val="center"/>
        </w:trPr>
        <w:tc>
          <w:tcPr>
            <w:tcW w:w="684" w:type="dxa"/>
            <w:vMerge w:val="continue"/>
            <w:vAlign w:val="center"/>
          </w:tcPr>
          <w:p w14:paraId="65CF46BD">
            <w:pPr>
              <w:widowControl/>
              <w:spacing w:line="300" w:lineRule="exact"/>
              <w:jc w:val="left"/>
              <w:rPr>
                <w:rFonts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2457" w:type="dxa"/>
            <w:gridSpan w:val="6"/>
            <w:vAlign w:val="center"/>
          </w:tcPr>
          <w:p w14:paraId="364099A8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阅读量（浏览量、点击量）</w:t>
            </w:r>
          </w:p>
        </w:tc>
        <w:tc>
          <w:tcPr>
            <w:tcW w:w="1370" w:type="dxa"/>
            <w:gridSpan w:val="3"/>
            <w:vAlign w:val="center"/>
          </w:tcPr>
          <w:p w14:paraId="63886A93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10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万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+</w:t>
            </w:r>
          </w:p>
        </w:tc>
        <w:tc>
          <w:tcPr>
            <w:tcW w:w="959" w:type="dxa"/>
            <w:gridSpan w:val="4"/>
            <w:vAlign w:val="center"/>
          </w:tcPr>
          <w:p w14:paraId="63EC5FF5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转载量</w:t>
            </w:r>
          </w:p>
        </w:tc>
        <w:tc>
          <w:tcPr>
            <w:tcW w:w="1373" w:type="dxa"/>
            <w:gridSpan w:val="5"/>
            <w:vAlign w:val="center"/>
          </w:tcPr>
          <w:p w14:paraId="612487AB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228</w:t>
            </w:r>
          </w:p>
        </w:tc>
        <w:tc>
          <w:tcPr>
            <w:tcW w:w="959" w:type="dxa"/>
            <w:gridSpan w:val="2"/>
            <w:vAlign w:val="center"/>
          </w:tcPr>
          <w:p w14:paraId="70B6C14C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互动量</w:t>
            </w:r>
          </w:p>
        </w:tc>
        <w:tc>
          <w:tcPr>
            <w:tcW w:w="1506" w:type="dxa"/>
            <w:gridSpan w:val="2"/>
            <w:vAlign w:val="center"/>
          </w:tcPr>
          <w:p w14:paraId="36084C83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508</w:t>
            </w:r>
          </w:p>
        </w:tc>
      </w:tr>
      <w:tr w14:paraId="45C23B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5" w:hRule="exact"/>
          <w:jc w:val="center"/>
        </w:trPr>
        <w:tc>
          <w:tcPr>
            <w:tcW w:w="1395" w:type="dxa"/>
            <w:gridSpan w:val="3"/>
            <w:vAlign w:val="center"/>
          </w:tcPr>
          <w:p w14:paraId="4A397016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推荐理由</w:t>
            </w:r>
          </w:p>
        </w:tc>
        <w:tc>
          <w:tcPr>
            <w:tcW w:w="7913" w:type="dxa"/>
            <w:gridSpan w:val="20"/>
            <w:vAlign w:val="center"/>
          </w:tcPr>
          <w:p w14:paraId="0EC6D667">
            <w:pPr>
              <w:spacing w:line="300" w:lineRule="exact"/>
              <w:ind w:firstLine="416" w:firstLineChars="200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</w:p>
          <w:p w14:paraId="48E26A6D">
            <w:pPr>
              <w:spacing w:line="300" w:lineRule="exact"/>
              <w:ind w:firstLine="416" w:firstLineChars="200"/>
              <w:rPr>
                <w:rFonts w:ascii="仿宋" w:hAnsi="仿宋" w:eastAsia="仿宋"/>
                <w:color w:val="000000"/>
                <w:spacing w:val="-2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作品紧扣“民营经济高质量发展”时代主题，选取鹰潭这一极具反差感的典型案例，以小见大折射民营经济发展活力，题材兼具时代性与稀缺性。报道内容扎实，示范意义显著，提炼的“专注细分领域”“产业链耦合发展”“全过程创新生态链”等经验，不仅为中小城市培育民营经济提供了可借鉴的路径，也为破解民营经济发展痛点提供了实践答案，具有较强的社会推广价值。</w:t>
            </w:r>
            <w:r>
              <w:rPr>
                <w:rFonts w:ascii="仿宋" w:hAnsi="仿宋" w:eastAsia="仿宋"/>
                <w:color w:val="000000"/>
                <w:spacing w:val="-2"/>
                <w:sz w:val="21"/>
                <w:szCs w:val="21"/>
              </w:rPr>
              <w:t xml:space="preserve"> </w:t>
            </w:r>
          </w:p>
          <w:p w14:paraId="06F9B3AF">
            <w:pPr>
              <w:spacing w:line="300" w:lineRule="exact"/>
              <w:ind w:firstLine="408" w:firstLineChars="200"/>
              <w:rPr>
                <w:rFonts w:ascii="仿宋" w:hAnsi="仿宋" w:eastAsia="仿宋"/>
                <w:color w:val="000000"/>
                <w:spacing w:val="-2"/>
                <w:sz w:val="21"/>
                <w:szCs w:val="21"/>
              </w:rPr>
            </w:pPr>
          </w:p>
          <w:p w14:paraId="271B28DA">
            <w:pPr>
              <w:spacing w:line="300" w:lineRule="exact"/>
              <w:ind w:firstLine="1632" w:firstLineChars="800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pacing w:val="-2"/>
                <w:sz w:val="21"/>
                <w:szCs w:val="21"/>
              </w:rPr>
              <w:t xml:space="preserve">     </w:t>
            </w:r>
            <w:r>
              <w:rPr>
                <w:rFonts w:hint="eastAsia" w:ascii="仿宋" w:hAnsi="仿宋" w:eastAsia="仿宋"/>
                <w:color w:val="000000"/>
                <w:spacing w:val="-2"/>
                <w:sz w:val="21"/>
                <w:szCs w:val="21"/>
              </w:rPr>
              <w:t>单位主要负责人签名：</w:t>
            </w:r>
            <w:r>
              <w:rPr>
                <w:rFonts w:hint="eastAsia" w:ascii="仿宋" w:hAnsi="仿宋" w:eastAsia="仿宋"/>
                <w:color w:val="000000"/>
                <w:spacing w:val="-2"/>
                <w:sz w:val="21"/>
                <w:szCs w:val="21"/>
                <w:lang w:val="en-US" w:eastAsia="zh-CN"/>
              </w:rPr>
              <w:t xml:space="preserve">                  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（盖单位公章）</w:t>
            </w:r>
          </w:p>
          <w:p w14:paraId="1E63F389">
            <w:pPr>
              <w:spacing w:line="300" w:lineRule="exact"/>
              <w:ind w:firstLine="1560" w:firstLineChars="750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 xml:space="preserve">                   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 xml:space="preserve">                   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 xml:space="preserve">  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2026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 xml:space="preserve">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年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 xml:space="preserve">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月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日</w:t>
            </w:r>
          </w:p>
          <w:p w14:paraId="39FCA1EB">
            <w:pPr>
              <w:spacing w:line="300" w:lineRule="exact"/>
              <w:ind w:firstLine="2085" w:firstLineChars="750"/>
              <w:rPr>
                <w:rFonts w:ascii="仿宋" w:hAnsi="仿宋" w:eastAsia="仿宋"/>
                <w:color w:val="000000"/>
                <w:szCs w:val="21"/>
              </w:rPr>
            </w:pPr>
          </w:p>
          <w:p w14:paraId="754B0639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ascii="仿宋" w:hAnsi="仿宋" w:eastAsia="仿宋"/>
                <w:color w:val="000000"/>
                <w:szCs w:val="21"/>
              </w:rPr>
              <w:t xml:space="preserve">                                                      </w:t>
            </w:r>
            <w:r>
              <w:rPr>
                <w:rFonts w:hint="eastAsia" w:ascii="仿宋" w:hAnsi="仿宋" w:eastAsia="仿宋"/>
                <w:color w:val="000000"/>
                <w:szCs w:val="21"/>
              </w:rPr>
              <w:t>年</w:t>
            </w:r>
            <w:r>
              <w:rPr>
                <w:rFonts w:ascii="仿宋" w:hAnsi="仿宋" w:eastAsia="仿宋"/>
                <w:color w:val="000000"/>
                <w:szCs w:val="21"/>
              </w:rPr>
              <w:t xml:space="preserve">  </w:t>
            </w:r>
            <w:r>
              <w:rPr>
                <w:rFonts w:hint="eastAsia" w:ascii="仿宋" w:hAnsi="仿宋" w:eastAsia="仿宋"/>
                <w:color w:val="000000"/>
                <w:szCs w:val="21"/>
              </w:rPr>
              <w:t>月</w:t>
            </w:r>
            <w:r>
              <w:rPr>
                <w:rFonts w:ascii="仿宋" w:hAnsi="仿宋" w:eastAsia="仿宋"/>
                <w:color w:val="000000"/>
                <w:szCs w:val="21"/>
              </w:rPr>
              <w:t xml:space="preserve">  </w:t>
            </w:r>
            <w:r>
              <w:rPr>
                <w:rFonts w:hint="eastAsia" w:ascii="仿宋" w:hAnsi="仿宋" w:eastAsia="仿宋"/>
                <w:color w:val="000000"/>
                <w:szCs w:val="21"/>
              </w:rPr>
              <w:t>日</w:t>
            </w:r>
          </w:p>
        </w:tc>
      </w:tr>
      <w:tr w14:paraId="66B934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7" w:hRule="exact"/>
          <w:jc w:val="center"/>
        </w:trPr>
        <w:tc>
          <w:tcPr>
            <w:tcW w:w="956" w:type="dxa"/>
            <w:gridSpan w:val="2"/>
            <w:vAlign w:val="center"/>
          </w:tcPr>
          <w:p w14:paraId="1362CD35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作者</w:t>
            </w:r>
          </w:p>
        </w:tc>
        <w:tc>
          <w:tcPr>
            <w:tcW w:w="2619" w:type="dxa"/>
            <w:gridSpan w:val="6"/>
            <w:vAlign w:val="center"/>
          </w:tcPr>
          <w:p w14:paraId="089767C7">
            <w:pPr>
              <w:spacing w:line="300" w:lineRule="exact"/>
              <w:rPr>
                <w:rFonts w:ascii="仿宋" w:hAnsi="仿宋" w:eastAsia="仿宋"/>
                <w:color w:val="000000"/>
                <w:sz w:val="32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周乐丰</w:t>
            </w:r>
          </w:p>
        </w:tc>
        <w:tc>
          <w:tcPr>
            <w:tcW w:w="1160" w:type="dxa"/>
            <w:gridSpan w:val="3"/>
            <w:vAlign w:val="center"/>
          </w:tcPr>
          <w:p w14:paraId="20A10FF5">
            <w:pPr>
              <w:spacing w:line="300" w:lineRule="exact"/>
              <w:rPr>
                <w:rFonts w:ascii="仿宋" w:hAnsi="仿宋" w:eastAsia="仿宋"/>
                <w:color w:val="000000"/>
                <w:sz w:val="32"/>
                <w:szCs w:val="21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手机</w:t>
            </w:r>
          </w:p>
        </w:tc>
        <w:tc>
          <w:tcPr>
            <w:tcW w:w="4573" w:type="dxa"/>
            <w:gridSpan w:val="12"/>
            <w:vAlign w:val="center"/>
          </w:tcPr>
          <w:p w14:paraId="344DAE8F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18170167008</w:t>
            </w:r>
          </w:p>
        </w:tc>
      </w:tr>
    </w:tbl>
    <w:p w14:paraId="094A65C3">
      <w:pPr>
        <w:pStyle w:val="2"/>
        <w:shd w:val="clear" w:color="auto" w:fill="FFFFFF"/>
        <w:spacing w:beforeAutospacing="0" w:afterAutospacing="0"/>
        <w:jc w:val="center"/>
      </w:pPr>
      <w:r>
        <w:rPr>
          <w:rFonts w:ascii="仿宋" w:hAnsi="仿宋" w:eastAsia="仿宋"/>
        </w:rPr>
        <w:pict>
          <v:shape id="_x0000_i1025" o:spt="75" alt="微信图片_2026-01-13_181002_479" type="#_x0000_t75" style="height:286.5pt;width:368.25pt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  <w10:wrap type="none"/>
            <w10:anchorlock/>
          </v:shape>
        </w:pict>
      </w:r>
    </w:p>
    <w:p w14:paraId="61C78727">
      <w:pPr>
        <w:pStyle w:val="2"/>
        <w:shd w:val="clear" w:color="auto" w:fill="FFFFFF"/>
        <w:spacing w:beforeAutospacing="0" w:afterAutospacing="0"/>
        <w:jc w:val="center"/>
        <w:rPr>
          <w:rFonts w:ascii="仿宋" w:hAnsi="仿宋" w:eastAsia="仿宋"/>
        </w:rPr>
      </w:pPr>
      <w:r>
        <w:rPr>
          <w:rFonts w:ascii="仿宋" w:hAnsi="仿宋" w:eastAsia="仿宋"/>
        </w:rPr>
        <w:pict>
          <v:shape id="_x0000_i1026" o:spt="75" alt="微信图片_2026-01-13_181006_711" type="#_x0000_t75" style="height:372.75pt;width:336pt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</w:pict>
      </w:r>
    </w:p>
    <w:p w14:paraId="61691F5A">
      <w:pPr>
        <w:pStyle w:val="2"/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textAlignment w:val="auto"/>
        <w:rPr>
          <w:rFonts w:hint="eastAsia" w:ascii="仿宋" w:hAnsi="仿宋" w:eastAsia="仿宋"/>
          <w:b w:val="0"/>
          <w:bCs w:val="0"/>
          <w:sz w:val="28"/>
          <w:szCs w:val="28"/>
        </w:rPr>
      </w:pPr>
      <w:r>
        <w:rPr>
          <w:rFonts w:hint="eastAsia" w:ascii="仿宋" w:hAnsi="仿宋" w:eastAsia="仿宋"/>
          <w:b w:val="0"/>
          <w:bCs w:val="0"/>
          <w:sz w:val="28"/>
          <w:szCs w:val="28"/>
        </w:rPr>
        <w:t>通讯</w:t>
      </w:r>
    </w:p>
    <w:p w14:paraId="27FDA6EC"/>
    <w:p w14:paraId="0682F636">
      <w:pPr>
        <w:pStyle w:val="2"/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jc w:val="center"/>
        <w:textAlignment w:val="auto"/>
        <w:rPr>
          <w:rFonts w:ascii="黑体" w:hAnsi="黑体" w:eastAsia="黑体" w:cs="华文中宋"/>
          <w:b w:val="0"/>
          <w:bCs w:val="0"/>
          <w:color w:val="000000"/>
          <w:sz w:val="32"/>
          <w:szCs w:val="32"/>
          <w:shd w:val="clear" w:color="auto" w:fill="FFFFFF"/>
        </w:rPr>
      </w:pPr>
      <w:r>
        <w:rPr>
          <w:rFonts w:hint="eastAsia" w:ascii="黑体" w:hAnsi="黑体" w:eastAsia="黑体"/>
          <w:b w:val="0"/>
          <w:sz w:val="32"/>
          <w:szCs w:val="32"/>
          <w:shd w:val="clear" w:color="auto" w:fill="FFFFFF"/>
        </w:rPr>
        <w:t>双榜领跑！解码“铜都”民企活力</w:t>
      </w:r>
    </w:p>
    <w:p w14:paraId="1031DD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238" w:firstLineChars="100"/>
        <w:jc w:val="center"/>
        <w:textAlignment w:val="auto"/>
        <w:rPr>
          <w:rFonts w:hint="eastAsia" w:ascii="仿宋" w:hAnsi="仿宋" w:eastAsia="仿宋"/>
          <w:color w:val="000000"/>
          <w:sz w:val="24"/>
          <w:szCs w:val="24"/>
        </w:rPr>
      </w:pPr>
      <w:r>
        <w:rPr>
          <w:rFonts w:hint="eastAsia" w:ascii="仿宋" w:hAnsi="仿宋" w:eastAsia="仿宋"/>
          <w:color w:val="000000"/>
          <w:sz w:val="24"/>
          <w:szCs w:val="24"/>
        </w:rPr>
        <w:t>作者：周乐丰、张俊娟、李宝华</w:t>
      </w:r>
    </w:p>
    <w:p w14:paraId="7B1EDA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238" w:firstLineChars="100"/>
        <w:jc w:val="center"/>
        <w:textAlignment w:val="auto"/>
        <w:rPr>
          <w:rFonts w:ascii="仿宋" w:hAnsi="仿宋" w:eastAsia="仿宋"/>
          <w:color w:val="000000"/>
          <w:sz w:val="24"/>
          <w:szCs w:val="24"/>
        </w:rPr>
      </w:pPr>
      <w:r>
        <w:rPr>
          <w:rFonts w:hint="eastAsia" w:ascii="仿宋" w:hAnsi="仿宋" w:eastAsia="仿宋"/>
          <w:color w:val="000000"/>
          <w:sz w:val="24"/>
          <w:szCs w:val="24"/>
        </w:rPr>
        <w:t>编辑：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陈文革、王冬梅、冯晓丹</w:t>
      </w:r>
    </w:p>
    <w:p w14:paraId="0A1D83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238" w:firstLineChars="100"/>
        <w:jc w:val="center"/>
        <w:textAlignment w:val="auto"/>
        <w:rPr>
          <w:rFonts w:ascii="仿宋" w:hAnsi="仿宋" w:eastAsia="仿宋"/>
          <w:color w:val="000000"/>
          <w:sz w:val="24"/>
          <w:szCs w:val="24"/>
        </w:rPr>
      </w:pPr>
    </w:p>
    <w:p w14:paraId="133181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3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color w:val="000000"/>
          <w:sz w:val="32"/>
          <w:szCs w:val="32"/>
        </w:rPr>
        <w:t xml:space="preserve"> </w:t>
      </w:r>
      <w:r>
        <w:rPr>
          <w:rFonts w:ascii="仿宋" w:hAnsi="仿宋" w:eastAsia="仿宋"/>
          <w:color w:val="000000"/>
          <w:sz w:val="28"/>
          <w:szCs w:val="28"/>
        </w:rPr>
        <w:t>10</w:t>
      </w:r>
      <w:r>
        <w:rPr>
          <w:rFonts w:hint="eastAsia" w:ascii="仿宋" w:hAnsi="仿宋" w:eastAsia="仿宋"/>
          <w:color w:val="000000"/>
          <w:sz w:val="28"/>
          <w:szCs w:val="28"/>
        </w:rPr>
        <w:t>月</w:t>
      </w:r>
      <w:r>
        <w:rPr>
          <w:rFonts w:ascii="仿宋" w:hAnsi="仿宋" w:eastAsia="仿宋"/>
          <w:color w:val="000000"/>
          <w:sz w:val="28"/>
          <w:szCs w:val="28"/>
        </w:rPr>
        <w:t>28</w:t>
      </w:r>
      <w:r>
        <w:rPr>
          <w:rFonts w:hint="eastAsia" w:ascii="仿宋" w:hAnsi="仿宋" w:eastAsia="仿宋"/>
          <w:color w:val="000000"/>
          <w:sz w:val="28"/>
          <w:szCs w:val="28"/>
        </w:rPr>
        <w:t>日，江西省工商联发布“</w:t>
      </w:r>
      <w:r>
        <w:rPr>
          <w:rFonts w:ascii="仿宋" w:hAnsi="仿宋" w:eastAsia="仿宋"/>
          <w:color w:val="000000"/>
          <w:sz w:val="28"/>
          <w:szCs w:val="28"/>
        </w:rPr>
        <w:t>2025</w:t>
      </w:r>
      <w:r>
        <w:rPr>
          <w:rFonts w:hint="eastAsia" w:ascii="仿宋" w:hAnsi="仿宋" w:eastAsia="仿宋"/>
          <w:color w:val="000000"/>
          <w:sz w:val="28"/>
          <w:szCs w:val="28"/>
        </w:rPr>
        <w:t>江西民营企业</w:t>
      </w:r>
      <w:r>
        <w:rPr>
          <w:rFonts w:ascii="仿宋" w:hAnsi="仿宋" w:eastAsia="仿宋"/>
          <w:color w:val="000000"/>
          <w:sz w:val="28"/>
          <w:szCs w:val="28"/>
        </w:rPr>
        <w:t>100</w:t>
      </w:r>
      <w:r>
        <w:rPr>
          <w:rFonts w:hint="eastAsia" w:ascii="仿宋" w:hAnsi="仿宋" w:eastAsia="仿宋"/>
          <w:color w:val="000000"/>
          <w:sz w:val="28"/>
          <w:szCs w:val="28"/>
        </w:rPr>
        <w:t>强”。鹰潭</w:t>
      </w:r>
      <w:r>
        <w:rPr>
          <w:rFonts w:ascii="仿宋" w:hAnsi="仿宋" w:eastAsia="仿宋"/>
          <w:color w:val="000000"/>
          <w:sz w:val="28"/>
          <w:szCs w:val="28"/>
        </w:rPr>
        <w:t>26</w:t>
      </w:r>
      <w:r>
        <w:rPr>
          <w:rFonts w:hint="eastAsia" w:ascii="仿宋" w:hAnsi="仿宋" w:eastAsia="仿宋"/>
          <w:color w:val="000000"/>
          <w:sz w:val="28"/>
          <w:szCs w:val="28"/>
        </w:rPr>
        <w:t>家企业入围江西民营企业</w:t>
      </w:r>
      <w:r>
        <w:rPr>
          <w:rFonts w:ascii="仿宋" w:hAnsi="仿宋" w:eastAsia="仿宋"/>
          <w:color w:val="000000"/>
          <w:sz w:val="28"/>
          <w:szCs w:val="28"/>
        </w:rPr>
        <w:t>100</w:t>
      </w:r>
      <w:r>
        <w:rPr>
          <w:rFonts w:hint="eastAsia" w:ascii="仿宋" w:hAnsi="仿宋" w:eastAsia="仿宋"/>
          <w:color w:val="000000"/>
          <w:sz w:val="28"/>
          <w:szCs w:val="28"/>
        </w:rPr>
        <w:t>强榜单，入围数全省第二；</w:t>
      </w:r>
      <w:r>
        <w:rPr>
          <w:rFonts w:ascii="仿宋" w:hAnsi="仿宋" w:eastAsia="仿宋"/>
          <w:color w:val="000000"/>
          <w:sz w:val="28"/>
          <w:szCs w:val="28"/>
        </w:rPr>
        <w:t>29</w:t>
      </w:r>
      <w:r>
        <w:rPr>
          <w:rFonts w:hint="eastAsia" w:ascii="仿宋" w:hAnsi="仿宋" w:eastAsia="仿宋"/>
          <w:color w:val="000000"/>
          <w:sz w:val="28"/>
          <w:szCs w:val="28"/>
        </w:rPr>
        <w:t>家企业入围江西制造业民营企业</w:t>
      </w:r>
      <w:r>
        <w:rPr>
          <w:rFonts w:ascii="仿宋" w:hAnsi="仿宋" w:eastAsia="仿宋"/>
          <w:color w:val="000000"/>
          <w:sz w:val="28"/>
          <w:szCs w:val="28"/>
        </w:rPr>
        <w:t>100</w:t>
      </w:r>
      <w:r>
        <w:rPr>
          <w:rFonts w:hint="eastAsia" w:ascii="仿宋" w:hAnsi="仿宋" w:eastAsia="仿宋"/>
          <w:color w:val="000000"/>
          <w:sz w:val="28"/>
          <w:szCs w:val="28"/>
        </w:rPr>
        <w:t>强榜单，入围数全省第一。</w:t>
      </w:r>
    </w:p>
    <w:p w14:paraId="13EA76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只有</w:t>
      </w:r>
      <w:r>
        <w:rPr>
          <w:rFonts w:ascii="仿宋" w:hAnsi="仿宋" w:eastAsia="仿宋"/>
          <w:color w:val="000000"/>
          <w:sz w:val="28"/>
          <w:szCs w:val="28"/>
        </w:rPr>
        <w:t>114.5</w:t>
      </w:r>
      <w:r>
        <w:rPr>
          <w:rFonts w:hint="eastAsia" w:ascii="仿宋" w:hAnsi="仿宋" w:eastAsia="仿宋"/>
          <w:color w:val="000000"/>
          <w:sz w:val="28"/>
          <w:szCs w:val="28"/>
        </w:rPr>
        <w:t>万常住人口的“小市”鹰潭，域内不仅有江铜贵溪冶炼厂这样的国企，更悄然成长为一块民营企业发展高地，跑出了江西民营企业数量曲线的峰值。“民企高地”的背后，隐藏着怎样的发展活力？“铜都”鹰潭，究竟孕育了几重民企沃土？</w:t>
      </w:r>
    </w:p>
    <w:p w14:paraId="5C8C82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基石：“冠军企业”的硬核实力</w:t>
      </w:r>
    </w:p>
    <w:p w14:paraId="77387E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走进江西耐乐铜业有限公司的全自动生产车间，联拉、盘丝、成品管制作等工序一气呵成，生产出的无氧铜管供应全球七大模组厂，应用于</w:t>
      </w:r>
      <w:r>
        <w:rPr>
          <w:rFonts w:ascii="仿宋" w:hAnsi="仿宋" w:eastAsia="仿宋"/>
          <w:color w:val="000000"/>
          <w:sz w:val="28"/>
          <w:szCs w:val="28"/>
        </w:rPr>
        <w:t>CPU</w:t>
      </w:r>
      <w:r>
        <w:rPr>
          <w:rFonts w:hint="eastAsia" w:ascii="仿宋" w:hAnsi="仿宋" w:eastAsia="仿宋"/>
          <w:color w:val="000000"/>
          <w:sz w:val="28"/>
          <w:szCs w:val="28"/>
        </w:rPr>
        <w:t>、</w:t>
      </w:r>
      <w:r>
        <w:rPr>
          <w:rFonts w:ascii="仿宋" w:hAnsi="仿宋" w:eastAsia="仿宋"/>
          <w:color w:val="000000"/>
          <w:sz w:val="28"/>
          <w:szCs w:val="28"/>
        </w:rPr>
        <w:t>GPU</w:t>
      </w:r>
      <w:r>
        <w:rPr>
          <w:rFonts w:hint="eastAsia" w:ascii="仿宋" w:hAnsi="仿宋" w:eastAsia="仿宋"/>
          <w:color w:val="000000"/>
          <w:sz w:val="28"/>
          <w:szCs w:val="28"/>
        </w:rPr>
        <w:t>等电脑核心部件。“我们用了</w:t>
      </w:r>
      <w:r>
        <w:rPr>
          <w:rFonts w:ascii="仿宋" w:hAnsi="仿宋" w:eastAsia="仿宋"/>
          <w:color w:val="000000"/>
          <w:sz w:val="28"/>
          <w:szCs w:val="28"/>
        </w:rPr>
        <w:t>7</w:t>
      </w:r>
      <w:r>
        <w:rPr>
          <w:rFonts w:hint="eastAsia" w:ascii="仿宋" w:hAnsi="仿宋" w:eastAsia="仿宋"/>
          <w:color w:val="000000"/>
          <w:sz w:val="28"/>
          <w:szCs w:val="28"/>
        </w:rPr>
        <w:t>年时间突破了无氧铜管制造核心技术。”耐乐铜业总工程师马力介绍，公司与江西理工大学团队合作，生产出质量更稳定的产品，填补了国内技术空白。</w:t>
      </w:r>
    </w:p>
    <w:p w14:paraId="501DA5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像耐乐这样的“隐形冠军”在鹰潭并非个例。沪江铜基新材料、远桥金属等企业在各自细分领域都建立了坚实的技术“护城河”。这些企业共同特点是：掌握核心专利和独特工艺，研发投入强度普遍高于行业平均水平，新产品迭代速度快，对市场趋势把握敏锐。以江南新材为例，其磷铜球等核心产品国际和国内市场占有率分别达</w:t>
      </w:r>
      <w:r>
        <w:rPr>
          <w:rFonts w:ascii="仿宋" w:hAnsi="仿宋" w:eastAsia="仿宋"/>
          <w:color w:val="000000"/>
          <w:sz w:val="28"/>
          <w:szCs w:val="28"/>
        </w:rPr>
        <w:t>24%</w:t>
      </w:r>
      <w:r>
        <w:rPr>
          <w:rFonts w:hint="eastAsia" w:ascii="仿宋" w:hAnsi="仿宋" w:eastAsia="仿宋"/>
          <w:color w:val="000000"/>
          <w:sz w:val="28"/>
          <w:szCs w:val="28"/>
        </w:rPr>
        <w:t>、</w:t>
      </w:r>
      <w:r>
        <w:rPr>
          <w:rFonts w:ascii="仿宋" w:hAnsi="仿宋" w:eastAsia="仿宋"/>
          <w:color w:val="000000"/>
          <w:sz w:val="28"/>
          <w:szCs w:val="28"/>
        </w:rPr>
        <w:t>41%</w:t>
      </w:r>
      <w:r>
        <w:rPr>
          <w:rFonts w:hint="eastAsia" w:ascii="仿宋" w:hAnsi="仿宋" w:eastAsia="仿宋"/>
          <w:color w:val="000000"/>
          <w:sz w:val="28"/>
          <w:szCs w:val="28"/>
        </w:rPr>
        <w:t>，成为全球</w:t>
      </w:r>
      <w:r>
        <w:rPr>
          <w:rFonts w:ascii="仿宋" w:hAnsi="仿宋" w:eastAsia="仿宋"/>
          <w:color w:val="000000"/>
          <w:sz w:val="28"/>
          <w:szCs w:val="28"/>
        </w:rPr>
        <w:t>PCB</w:t>
      </w:r>
      <w:r>
        <w:rPr>
          <w:rFonts w:hint="eastAsia" w:ascii="仿宋" w:hAnsi="仿宋" w:eastAsia="仿宋"/>
          <w:color w:val="000000"/>
          <w:sz w:val="28"/>
          <w:szCs w:val="28"/>
        </w:rPr>
        <w:t>（印制电路板）细分市场领军者。</w:t>
      </w:r>
    </w:p>
    <w:p w14:paraId="010889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支撑这些“冠军企业”的，是一批具有战略眼光和专注精神的企业家。他们大多扎根行业数十年，秉持“一根杆子插到底”的专注态度，在细分领域精耕细作。有业内人士评价，“鹰潭民企老板有个共同特点</w:t>
      </w:r>
      <w:r>
        <w:rPr>
          <w:rFonts w:ascii="仿宋" w:hAnsi="仿宋" w:eastAsia="仿宋"/>
          <w:color w:val="000000"/>
          <w:sz w:val="28"/>
          <w:szCs w:val="28"/>
        </w:rPr>
        <w:t>——</w:t>
      </w:r>
      <w:r>
        <w:rPr>
          <w:rFonts w:hint="eastAsia" w:ascii="仿宋" w:hAnsi="仿宋" w:eastAsia="仿宋"/>
          <w:color w:val="000000"/>
          <w:sz w:val="28"/>
          <w:szCs w:val="28"/>
        </w:rPr>
        <w:t>不追风口，不做短平快，而是专注一个领域做到极致。”</w:t>
      </w:r>
    </w:p>
    <w:p w14:paraId="2FED40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这一点，在保太集团、三川集团等本土成长发展起来的民营企业身上表现得尤为明显。保太集团由一家废品收购小作坊起步，逐步扩大生产规模，不断进行技术改造，提升产品附加值，成为全国再生金属综合利用行业的佼佼者。三川集团坚持自主创新与产学研合作，成功研发物联网智能水表，其水表国内市场占有率连续多年稳居第一。</w:t>
      </w:r>
    </w:p>
    <w:p w14:paraId="7DE06B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沃土：独特的产业生态系统</w:t>
      </w:r>
    </w:p>
    <w:p w14:paraId="57FD4A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“半小时内能找齐所有配套零部件。”江西凯安新材料公司董事长李泽这样描述鹰潭的产业生态，“完整的产业链，使集群内企业协作效率极高。”</w:t>
      </w:r>
    </w:p>
    <w:p w14:paraId="56D64E5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“算成本账，在本地从贵溪冶炼厂拉铜料加工，能比外地进货每吨少一、两百元运输费。”江西中易微连新材料科技有限公司负责人赵衡说，“遇上工艺或生产问题，同行也可以提供技术支持。”</w:t>
      </w:r>
    </w:p>
    <w:p w14:paraId="2951E8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这种产业生态的形成，既有其历史渊源，也离不开当地政府的主动作为。作为国家“六五”计划重点项目，江铜贵溪冶炼厂的建成，带来大量电解铜原料供应、铜产业技术人才外溢等辐射效应，成为吸引民营铜加工企业落户扎根的良好条件。改革开放后，一大批浙商前来投资办厂，催生了大量配套中小企业。</w:t>
      </w:r>
    </w:p>
    <w:p w14:paraId="333667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而随着鹰潭铜产业规模不断扩大，近年来，当地政府积极打造铜基新材料产业集群，一方面突出“链群配”，加快引进一批高效益、高附加值、带动性强的优质项目；另一方面，出台市内铜原材料采购奖励、运费补贴等政策，引导上下游企业供需协同配套。</w:t>
      </w:r>
    </w:p>
    <w:p w14:paraId="09010F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这种产业链耦合发展，不仅推动了产业升级，更使鹰潭民企在铜基新材料、电子信息等领域的市场份额持续扩大。</w:t>
      </w:r>
      <w:r>
        <w:rPr>
          <w:rFonts w:ascii="仿宋" w:hAnsi="仿宋" w:eastAsia="仿宋"/>
          <w:color w:val="000000"/>
          <w:sz w:val="28"/>
          <w:szCs w:val="28"/>
        </w:rPr>
        <w:t>2024</w:t>
      </w:r>
      <w:r>
        <w:rPr>
          <w:rFonts w:hint="eastAsia" w:ascii="仿宋" w:hAnsi="仿宋" w:eastAsia="仿宋"/>
          <w:color w:val="000000"/>
          <w:sz w:val="28"/>
          <w:szCs w:val="28"/>
        </w:rPr>
        <w:t>年，全市规模以上工业中有</w:t>
      </w:r>
      <w:r>
        <w:rPr>
          <w:rFonts w:ascii="仿宋" w:hAnsi="仿宋" w:eastAsia="仿宋"/>
          <w:color w:val="000000"/>
          <w:sz w:val="28"/>
          <w:szCs w:val="28"/>
        </w:rPr>
        <w:t>548</w:t>
      </w:r>
      <w:r>
        <w:rPr>
          <w:rFonts w:hint="eastAsia" w:ascii="仿宋" w:hAnsi="仿宋" w:eastAsia="仿宋"/>
          <w:color w:val="000000"/>
          <w:sz w:val="28"/>
          <w:szCs w:val="28"/>
        </w:rPr>
        <w:t>家民营企业，民营企业工业总产值</w:t>
      </w:r>
      <w:r>
        <w:rPr>
          <w:rFonts w:ascii="仿宋" w:hAnsi="仿宋" w:eastAsia="仿宋"/>
          <w:color w:val="000000"/>
          <w:sz w:val="28"/>
          <w:szCs w:val="28"/>
        </w:rPr>
        <w:t>3191.15</w:t>
      </w:r>
      <w:r>
        <w:rPr>
          <w:rFonts w:hint="eastAsia" w:ascii="仿宋" w:hAnsi="仿宋" w:eastAsia="仿宋"/>
          <w:color w:val="000000"/>
          <w:sz w:val="28"/>
          <w:szCs w:val="28"/>
        </w:rPr>
        <w:t>亿元。</w:t>
      </w:r>
    </w:p>
    <w:p w14:paraId="625977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“这几年，鹰潭民营企业主动抓转型、上项目、扩规模的意愿很强。德鑫圆金属材料投资了</w:t>
      </w:r>
      <w:r>
        <w:rPr>
          <w:rFonts w:ascii="仿宋" w:hAnsi="仿宋" w:eastAsia="仿宋"/>
          <w:color w:val="000000"/>
          <w:sz w:val="28"/>
          <w:szCs w:val="28"/>
        </w:rPr>
        <w:t>4</w:t>
      </w:r>
      <w:r>
        <w:rPr>
          <w:rFonts w:hint="eastAsia" w:ascii="仿宋" w:hAnsi="仿宋" w:eastAsia="仿宋"/>
          <w:color w:val="000000"/>
          <w:sz w:val="28"/>
          <w:szCs w:val="28"/>
        </w:rPr>
        <w:t>期项目，新月控股集团、江南新材投资</w:t>
      </w:r>
      <w:r>
        <w:rPr>
          <w:rFonts w:ascii="仿宋" w:hAnsi="仿宋" w:eastAsia="仿宋"/>
          <w:color w:val="000000"/>
          <w:sz w:val="28"/>
          <w:szCs w:val="28"/>
        </w:rPr>
        <w:t>5</w:t>
      </w:r>
      <w:r>
        <w:rPr>
          <w:rFonts w:hint="eastAsia" w:ascii="仿宋" w:hAnsi="仿宋" w:eastAsia="仿宋"/>
          <w:color w:val="000000"/>
          <w:sz w:val="28"/>
          <w:szCs w:val="28"/>
        </w:rPr>
        <w:t>期项目，全市裂变式发展的企业超</w:t>
      </w:r>
      <w:r>
        <w:rPr>
          <w:rFonts w:ascii="仿宋" w:hAnsi="仿宋" w:eastAsia="仿宋"/>
          <w:color w:val="000000"/>
          <w:sz w:val="28"/>
          <w:szCs w:val="28"/>
        </w:rPr>
        <w:t>80</w:t>
      </w:r>
      <w:r>
        <w:rPr>
          <w:rFonts w:hint="eastAsia" w:ascii="仿宋" w:hAnsi="仿宋" w:eastAsia="仿宋"/>
          <w:color w:val="000000"/>
          <w:sz w:val="28"/>
          <w:szCs w:val="28"/>
        </w:rPr>
        <w:t>家。”鹰潭市铜产业发展中心主任艾国栋表示。</w:t>
      </w:r>
    </w:p>
    <w:p w14:paraId="66EB8D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引擎：创新驱动的转型升级</w:t>
      </w:r>
    </w:p>
    <w:p w14:paraId="4E6B2F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“新的熔炼设备采用当今最先进双‘</w:t>
      </w:r>
      <w:r>
        <w:rPr>
          <w:rFonts w:ascii="仿宋" w:hAnsi="仿宋" w:eastAsia="仿宋"/>
          <w:color w:val="000000"/>
          <w:sz w:val="28"/>
          <w:szCs w:val="28"/>
        </w:rPr>
        <w:t>W</w:t>
      </w:r>
      <w:r>
        <w:rPr>
          <w:rFonts w:hint="eastAsia" w:ascii="仿宋" w:hAnsi="仿宋" w:eastAsia="仿宋"/>
          <w:color w:val="000000"/>
          <w:sz w:val="28"/>
          <w:szCs w:val="28"/>
        </w:rPr>
        <w:t>型’感应器技术，生产的无氧铜含氧量可以达到百万分之五以下，处于世界领先水平，可满足芯片、高强高导领域的产品要求。”江西云盛新材料有限公司常务副总经理孙锋表示，项目一期达产达标后，可年产</w:t>
      </w:r>
      <w:r>
        <w:rPr>
          <w:rFonts w:ascii="仿宋" w:hAnsi="仿宋" w:eastAsia="仿宋"/>
          <w:color w:val="000000"/>
          <w:sz w:val="28"/>
          <w:szCs w:val="28"/>
        </w:rPr>
        <w:t>5</w:t>
      </w:r>
      <w:r>
        <w:rPr>
          <w:rFonts w:hint="eastAsia" w:ascii="仿宋" w:hAnsi="仿宋" w:eastAsia="仿宋"/>
          <w:color w:val="000000"/>
          <w:sz w:val="28"/>
          <w:szCs w:val="28"/>
        </w:rPr>
        <w:t>万吨的高精度铜板带，实现销售收入</w:t>
      </w:r>
      <w:r>
        <w:rPr>
          <w:rFonts w:ascii="仿宋" w:hAnsi="仿宋" w:eastAsia="仿宋"/>
          <w:color w:val="000000"/>
          <w:sz w:val="28"/>
          <w:szCs w:val="28"/>
        </w:rPr>
        <w:t>40</w:t>
      </w:r>
      <w:r>
        <w:rPr>
          <w:rFonts w:hint="eastAsia" w:ascii="仿宋" w:hAnsi="仿宋" w:eastAsia="仿宋"/>
          <w:color w:val="000000"/>
          <w:sz w:val="28"/>
          <w:szCs w:val="28"/>
        </w:rPr>
        <w:t>亿元。</w:t>
      </w:r>
    </w:p>
    <w:p w14:paraId="034E87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这家浙商企业</w:t>
      </w:r>
      <w:r>
        <w:rPr>
          <w:rFonts w:ascii="仿宋" w:hAnsi="仿宋" w:eastAsia="仿宋" w:cs="宋体"/>
          <w:color w:val="000000"/>
          <w:sz w:val="28"/>
          <w:szCs w:val="28"/>
        </w:rPr>
        <w:t>2006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年来到鹰潭投资，从粗铜加工起步，一次次转型升级，云盛是集团的第三个项目。“相对于铜锭加工，高精度铜板带生产附加值提升了</w:t>
      </w:r>
      <w:r>
        <w:rPr>
          <w:rFonts w:ascii="仿宋" w:hAnsi="仿宋" w:eastAsia="仿宋" w:cs="宋体"/>
          <w:color w:val="000000"/>
          <w:sz w:val="28"/>
          <w:szCs w:val="28"/>
        </w:rPr>
        <w:t>10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多倍，而且订单也是源源不断。</w:t>
      </w:r>
      <w:r>
        <w:rPr>
          <w:rFonts w:ascii="仿宋" w:hAnsi="仿宋" w:eastAsia="仿宋" w:cs="宋体"/>
          <w:color w:val="000000"/>
          <w:sz w:val="28"/>
          <w:szCs w:val="28"/>
        </w:rPr>
        <w:t>2024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年，企业产值实现逆势上扬。”</w:t>
      </w:r>
      <w:r>
        <w:rPr>
          <w:rFonts w:hint="eastAsia" w:ascii="仿宋" w:hAnsi="仿宋" w:eastAsia="仿宋"/>
          <w:color w:val="000000"/>
          <w:sz w:val="28"/>
          <w:szCs w:val="28"/>
        </w:rPr>
        <w:t>孙锋表示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。</w:t>
      </w:r>
    </w:p>
    <w:p w14:paraId="221C2D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民营企业发展壮大，离不开创新动力“输入”。鹰潭市构建“基础研究＋技术攻关</w:t>
      </w:r>
      <w:r>
        <w:rPr>
          <w:rFonts w:ascii="仿宋" w:hAnsi="仿宋" w:eastAsia="仿宋" w:cs="宋体"/>
          <w:color w:val="000000"/>
          <w:sz w:val="28"/>
          <w:szCs w:val="28"/>
        </w:rPr>
        <w:t>+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成果产业化</w:t>
      </w:r>
      <w:r>
        <w:rPr>
          <w:rFonts w:ascii="仿宋" w:hAnsi="仿宋" w:eastAsia="仿宋" w:cs="宋体"/>
          <w:color w:val="000000"/>
          <w:sz w:val="28"/>
          <w:szCs w:val="28"/>
        </w:rPr>
        <w:t>+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科技金融”全过程创新生态链，推动各类资源要素向民营企业和产业集群集聚，并在技术升级、企业培育、“智改数转”等方面给予扶持，为企业发展壮大留足空间。</w:t>
      </w:r>
    </w:p>
    <w:p w14:paraId="3B6CE7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与江西理工大学、中国有研集团等院所合作，共建</w:t>
      </w:r>
      <w:r>
        <w:rPr>
          <w:rFonts w:ascii="仿宋" w:hAnsi="仿宋" w:eastAsia="仿宋"/>
          <w:color w:val="000000"/>
          <w:sz w:val="28"/>
          <w:szCs w:val="28"/>
        </w:rPr>
        <w:t>79</w:t>
      </w:r>
      <w:r>
        <w:rPr>
          <w:rFonts w:hint="eastAsia" w:ascii="仿宋" w:hAnsi="仿宋" w:eastAsia="仿宋"/>
          <w:color w:val="000000"/>
          <w:sz w:val="28"/>
          <w:szCs w:val="28"/>
        </w:rPr>
        <w:t>家省级以上创新平台；重点实施</w:t>
      </w:r>
      <w:r>
        <w:rPr>
          <w:rFonts w:ascii="仿宋" w:hAnsi="仿宋" w:eastAsia="仿宋"/>
          <w:color w:val="000000"/>
          <w:sz w:val="28"/>
          <w:szCs w:val="28"/>
        </w:rPr>
        <w:t>26</w:t>
      </w:r>
      <w:r>
        <w:rPr>
          <w:rFonts w:hint="eastAsia" w:ascii="仿宋" w:hAnsi="仿宋" w:eastAsia="仿宋"/>
          <w:color w:val="000000"/>
          <w:sz w:val="28"/>
          <w:szCs w:val="28"/>
        </w:rPr>
        <w:t>项高水平研发项目，通过“揭榜挂帅”突破“卡脖子”技术；设立</w:t>
      </w: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亿元工业高质量发展专项资金、</w:t>
      </w:r>
      <w:r>
        <w:rPr>
          <w:rFonts w:ascii="仿宋" w:hAnsi="仿宋" w:eastAsia="仿宋"/>
          <w:color w:val="000000"/>
          <w:sz w:val="28"/>
          <w:szCs w:val="28"/>
        </w:rPr>
        <w:t>10</w:t>
      </w:r>
      <w:r>
        <w:rPr>
          <w:rFonts w:hint="eastAsia" w:ascii="仿宋" w:hAnsi="仿宋" w:eastAsia="仿宋"/>
          <w:color w:val="000000"/>
          <w:sz w:val="28"/>
          <w:szCs w:val="28"/>
        </w:rPr>
        <w:t>亿元工创贷；通过“周末工程师”等方式柔性引进高端人才……</w:t>
      </w:r>
    </w:p>
    <w:p w14:paraId="21977D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数据显示，</w:t>
      </w:r>
      <w:r>
        <w:rPr>
          <w:rFonts w:ascii="仿宋" w:hAnsi="仿宋" w:eastAsia="仿宋" w:cs="宋体"/>
          <w:color w:val="000000"/>
          <w:sz w:val="28"/>
          <w:szCs w:val="28"/>
        </w:rPr>
        <w:t>2024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年度，鹰潭全社会研发投入强度达</w:t>
      </w:r>
      <w:r>
        <w:rPr>
          <w:rFonts w:ascii="仿宋" w:hAnsi="仿宋" w:eastAsia="仿宋" w:cs="宋体"/>
          <w:color w:val="000000"/>
          <w:sz w:val="28"/>
          <w:szCs w:val="28"/>
        </w:rPr>
        <w:t>2.4%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，持续保持全省第一。这样的发展环境，推动企业</w:t>
      </w:r>
      <w:r>
        <w:rPr>
          <w:rFonts w:hint="eastAsia" w:ascii="仿宋" w:hAnsi="仿宋" w:eastAsia="仿宋"/>
          <w:color w:val="000000"/>
          <w:sz w:val="28"/>
          <w:szCs w:val="28"/>
        </w:rPr>
        <w:t>价值链攀升趋势明显</w:t>
      </w:r>
      <w:r>
        <w:rPr>
          <w:rFonts w:ascii="仿宋" w:hAnsi="仿宋" w:eastAsia="仿宋"/>
          <w:color w:val="000000"/>
          <w:sz w:val="28"/>
          <w:szCs w:val="28"/>
        </w:rPr>
        <w:t>——</w:t>
      </w:r>
      <w:r>
        <w:rPr>
          <w:rFonts w:hint="eastAsia" w:ascii="仿宋" w:hAnsi="仿宋" w:eastAsia="仿宋"/>
          <w:color w:val="000000"/>
          <w:sz w:val="28"/>
          <w:szCs w:val="28"/>
        </w:rPr>
        <w:t>不再满足于低端制造，而是在产品研发和技术升级上下功夫。以铜产业为例，产品从传统的铜杆、铜线升级为高端铜箔、特种线缆，附加值成倍提高。</w:t>
      </w:r>
      <w:r>
        <w:rPr>
          <w:rFonts w:ascii="仿宋" w:hAnsi="仿宋" w:eastAsia="仿宋"/>
          <w:color w:val="000000"/>
          <w:sz w:val="28"/>
          <w:szCs w:val="28"/>
        </w:rPr>
        <w:t>2024</w:t>
      </w:r>
      <w:r>
        <w:rPr>
          <w:rFonts w:hint="eastAsia" w:ascii="仿宋" w:hAnsi="仿宋" w:eastAsia="仿宋"/>
          <w:color w:val="000000"/>
          <w:sz w:val="28"/>
          <w:szCs w:val="28"/>
        </w:rPr>
        <w:t>年，全市民企利润总额达</w:t>
      </w:r>
      <w:r>
        <w:rPr>
          <w:rFonts w:ascii="仿宋" w:hAnsi="仿宋" w:eastAsia="仿宋"/>
          <w:color w:val="000000"/>
          <w:sz w:val="28"/>
          <w:szCs w:val="28"/>
        </w:rPr>
        <w:t>131.97</w:t>
      </w:r>
      <w:r>
        <w:rPr>
          <w:rFonts w:hint="eastAsia" w:ascii="仿宋" w:hAnsi="仿宋" w:eastAsia="仿宋"/>
          <w:color w:val="000000"/>
          <w:sz w:val="28"/>
          <w:szCs w:val="28"/>
        </w:rPr>
        <w:t>亿元，同比增长</w:t>
      </w:r>
      <w:r>
        <w:rPr>
          <w:rFonts w:ascii="仿宋" w:hAnsi="仿宋" w:eastAsia="仿宋"/>
          <w:color w:val="000000"/>
          <w:sz w:val="28"/>
          <w:szCs w:val="28"/>
        </w:rPr>
        <w:t>37%</w:t>
      </w:r>
      <w:r>
        <w:rPr>
          <w:rFonts w:hint="eastAsia" w:ascii="仿宋" w:hAnsi="仿宋" w:eastAsia="仿宋"/>
          <w:color w:val="000000"/>
          <w:sz w:val="28"/>
          <w:szCs w:val="28"/>
        </w:rPr>
        <w:t>。</w:t>
      </w:r>
    </w:p>
    <w:p w14:paraId="6B63A2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信心：“服务型政府”贴身护航</w:t>
      </w:r>
    </w:p>
    <w:p w14:paraId="02C16D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“燃气接通了，大大节省了企业能源成本。”江西华尔达线缆股份有限公司总经理单茂刚说，鹰潭市委统战部来企业走访时，了解到企业的用气需求，立即与燃气公司进行联系，燃气管道铺设至企业用气点。</w:t>
      </w:r>
    </w:p>
    <w:p w14:paraId="1CB62E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“召开了</w:t>
      </w:r>
      <w:r>
        <w:rPr>
          <w:rFonts w:ascii="仿宋" w:hAnsi="仿宋" w:eastAsia="仿宋"/>
          <w:color w:val="000000"/>
          <w:sz w:val="28"/>
          <w:szCs w:val="28"/>
        </w:rPr>
        <w:t>20</w:t>
      </w:r>
      <w:r>
        <w:rPr>
          <w:rFonts w:hint="eastAsia" w:ascii="仿宋" w:hAnsi="仿宋" w:eastAsia="仿宋"/>
          <w:color w:val="000000"/>
          <w:sz w:val="28"/>
          <w:szCs w:val="28"/>
        </w:rPr>
        <w:t>多场民营企业座谈会、企业诉求推进会，收集了</w:t>
      </w:r>
      <w:r>
        <w:rPr>
          <w:rFonts w:ascii="仿宋" w:hAnsi="仿宋" w:eastAsia="仿宋"/>
          <w:color w:val="000000"/>
          <w:sz w:val="28"/>
          <w:szCs w:val="28"/>
        </w:rPr>
        <w:t>47</w:t>
      </w:r>
      <w:r>
        <w:rPr>
          <w:rFonts w:hint="eastAsia" w:ascii="仿宋" w:hAnsi="仿宋" w:eastAsia="仿宋"/>
          <w:color w:val="000000"/>
          <w:sz w:val="28"/>
          <w:szCs w:val="28"/>
        </w:rPr>
        <w:t>个民营企业问题诉求，推动</w:t>
      </w:r>
      <w:r>
        <w:rPr>
          <w:rFonts w:ascii="仿宋" w:hAnsi="仿宋" w:eastAsia="仿宋"/>
          <w:color w:val="000000"/>
          <w:sz w:val="28"/>
          <w:szCs w:val="28"/>
        </w:rPr>
        <w:t>65</w:t>
      </w:r>
      <w:r>
        <w:rPr>
          <w:rFonts w:hint="eastAsia" w:ascii="仿宋" w:hAnsi="仿宋" w:eastAsia="仿宋"/>
          <w:color w:val="000000"/>
          <w:sz w:val="28"/>
          <w:szCs w:val="28"/>
        </w:rPr>
        <w:t>条整改措施落地。”鹰潭市委统战部副部长童丽芳介绍，通过开展“民企会客厅”、“同心铜链产教融合”“铜心接力”等系列服务活动，聚焦打通服务企业“最后一公里”等“小切口”，各部门进一步完善与民营企业常态化沟通交流机制，及时有效解决发展难题。坚持抓实产业发展、抓实经营主体，鹰潭通过建设“服务型政府”，积极谋划增量政策，为民营企业高质量发展保驾护航。</w:t>
      </w:r>
    </w:p>
    <w:p w14:paraId="158F10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铜产业是资金密集型产业，传统的融资方式难以满足企业发展需求。鹰潭在全国率先创新铜供应链金融模式，通过委托加工、存货质押等方式解决企业融资难题。凯安新材料就曾获得</w:t>
      </w:r>
      <w:r>
        <w:rPr>
          <w:rFonts w:ascii="仿宋" w:hAnsi="仿宋" w:eastAsia="仿宋"/>
          <w:color w:val="000000"/>
          <w:sz w:val="28"/>
          <w:szCs w:val="28"/>
        </w:rPr>
        <w:t>1.5</w:t>
      </w:r>
      <w:r>
        <w:rPr>
          <w:rFonts w:hint="eastAsia" w:ascii="仿宋" w:hAnsi="仿宋" w:eastAsia="仿宋"/>
          <w:color w:val="000000"/>
          <w:sz w:val="28"/>
          <w:szCs w:val="28"/>
        </w:rPr>
        <w:t>亿元“无须抵押、随借随还”的供应链融资服务。“浙商贷”等创新金融产品已为</w:t>
      </w:r>
      <w:r>
        <w:rPr>
          <w:rFonts w:ascii="仿宋" w:hAnsi="仿宋" w:eastAsia="仿宋"/>
          <w:color w:val="000000"/>
          <w:sz w:val="28"/>
          <w:szCs w:val="28"/>
        </w:rPr>
        <w:t>150</w:t>
      </w:r>
      <w:r>
        <w:rPr>
          <w:rFonts w:hint="eastAsia" w:ascii="仿宋" w:hAnsi="仿宋" w:eastAsia="仿宋"/>
          <w:color w:val="000000"/>
          <w:sz w:val="28"/>
          <w:szCs w:val="28"/>
        </w:rPr>
        <w:t>余家浙商企业提供资金</w:t>
      </w:r>
      <w:r>
        <w:rPr>
          <w:rFonts w:ascii="仿宋" w:hAnsi="仿宋" w:eastAsia="仿宋"/>
          <w:color w:val="000000"/>
          <w:sz w:val="28"/>
          <w:szCs w:val="28"/>
        </w:rPr>
        <w:t>130</w:t>
      </w:r>
      <w:r>
        <w:rPr>
          <w:rFonts w:hint="eastAsia" w:ascii="仿宋" w:hAnsi="仿宋" w:eastAsia="仿宋"/>
          <w:color w:val="000000"/>
          <w:sz w:val="28"/>
          <w:szCs w:val="28"/>
        </w:rPr>
        <w:t>亿元。</w:t>
      </w:r>
    </w:p>
    <w:p w14:paraId="395673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政府服务还体现在细节上。</w:t>
      </w:r>
      <w:r>
        <w:rPr>
          <w:rFonts w:ascii="仿宋" w:hAnsi="仿宋" w:eastAsia="仿宋"/>
          <w:color w:val="000000"/>
          <w:sz w:val="28"/>
          <w:szCs w:val="28"/>
        </w:rPr>
        <w:t>37</w:t>
      </w:r>
      <w:r>
        <w:rPr>
          <w:rFonts w:hint="eastAsia" w:ascii="仿宋" w:hAnsi="仿宋" w:eastAsia="仿宋"/>
          <w:color w:val="000000"/>
          <w:sz w:val="28"/>
          <w:szCs w:val="28"/>
        </w:rPr>
        <w:t>个“高效办成一件事”事项落地，</w:t>
      </w:r>
      <w:r>
        <w:rPr>
          <w:rFonts w:ascii="仿宋" w:hAnsi="仿宋" w:eastAsia="仿宋"/>
          <w:color w:val="000000"/>
          <w:sz w:val="28"/>
          <w:szCs w:val="28"/>
        </w:rPr>
        <w:t>403</w:t>
      </w:r>
      <w:r>
        <w:rPr>
          <w:rFonts w:hint="eastAsia" w:ascii="仿宋" w:hAnsi="仿宋" w:eastAsia="仿宋"/>
          <w:color w:val="000000"/>
          <w:sz w:val="28"/>
          <w:szCs w:val="28"/>
        </w:rPr>
        <w:t>项事项实现“一网通办”；工业项目“拿地即开工”等改革持续深化；深化产业链链长制和市领导联系、部门挂点和企业特派员等帮扶机制，持续开展企业大走访、中小企业服务月等专项活动……</w:t>
      </w:r>
    </w:p>
    <w:p w14:paraId="51CA38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“民营经济的高速发展，需要企业‘勤练内功’，也需要外部‘添柴加薪’。”鹰潭市政府办副主任姚威表示，</w:t>
      </w:r>
      <w:r>
        <w:rPr>
          <w:rFonts w:ascii="仿宋" w:hAnsi="仿宋" w:eastAsia="仿宋"/>
          <w:color w:val="000000"/>
          <w:sz w:val="28"/>
          <w:szCs w:val="28"/>
        </w:rPr>
        <w:t>2025</w:t>
      </w:r>
      <w:r>
        <w:rPr>
          <w:rFonts w:hint="eastAsia" w:ascii="仿宋" w:hAnsi="仿宋" w:eastAsia="仿宋"/>
          <w:color w:val="000000"/>
          <w:sz w:val="28"/>
          <w:szCs w:val="28"/>
        </w:rPr>
        <w:t>年，鹰潭市</w:t>
      </w: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家企业入围“</w:t>
      </w:r>
      <w:r>
        <w:rPr>
          <w:rFonts w:ascii="仿宋" w:hAnsi="仿宋" w:eastAsia="仿宋"/>
          <w:color w:val="000000"/>
          <w:sz w:val="28"/>
          <w:szCs w:val="28"/>
        </w:rPr>
        <w:t>2025</w:t>
      </w:r>
      <w:r>
        <w:rPr>
          <w:rFonts w:hint="eastAsia" w:ascii="仿宋" w:hAnsi="仿宋" w:eastAsia="仿宋"/>
          <w:color w:val="000000"/>
          <w:sz w:val="28"/>
          <w:szCs w:val="28"/>
        </w:rPr>
        <w:t>中国民营企业</w:t>
      </w:r>
      <w:r>
        <w:rPr>
          <w:rFonts w:ascii="仿宋" w:hAnsi="仿宋" w:eastAsia="仿宋"/>
          <w:color w:val="000000"/>
          <w:sz w:val="28"/>
          <w:szCs w:val="28"/>
        </w:rPr>
        <w:t>500</w:t>
      </w:r>
      <w:r>
        <w:rPr>
          <w:rFonts w:hint="eastAsia" w:ascii="仿宋" w:hAnsi="仿宋" w:eastAsia="仿宋"/>
          <w:color w:val="000000"/>
          <w:sz w:val="28"/>
          <w:szCs w:val="28"/>
        </w:rPr>
        <w:t>强”榜单，</w:t>
      </w:r>
      <w:r>
        <w:rPr>
          <w:rFonts w:ascii="仿宋" w:hAnsi="仿宋" w:eastAsia="仿宋"/>
          <w:color w:val="000000"/>
          <w:sz w:val="28"/>
          <w:szCs w:val="28"/>
        </w:rPr>
        <w:t>4</w:t>
      </w:r>
      <w:r>
        <w:rPr>
          <w:rFonts w:hint="eastAsia" w:ascii="仿宋" w:hAnsi="仿宋" w:eastAsia="仿宋"/>
          <w:color w:val="000000"/>
          <w:sz w:val="28"/>
          <w:szCs w:val="28"/>
        </w:rPr>
        <w:t>家企业入围“</w:t>
      </w:r>
      <w:r>
        <w:rPr>
          <w:rFonts w:ascii="仿宋" w:hAnsi="仿宋" w:eastAsia="仿宋"/>
          <w:color w:val="000000"/>
          <w:sz w:val="28"/>
          <w:szCs w:val="28"/>
        </w:rPr>
        <w:t>2025</w:t>
      </w:r>
      <w:r>
        <w:rPr>
          <w:rFonts w:hint="eastAsia" w:ascii="仿宋" w:hAnsi="仿宋" w:eastAsia="仿宋"/>
          <w:color w:val="000000"/>
          <w:sz w:val="28"/>
          <w:szCs w:val="28"/>
        </w:rPr>
        <w:t>中国制造业民营企业</w:t>
      </w:r>
      <w:r>
        <w:rPr>
          <w:rFonts w:ascii="仿宋" w:hAnsi="仿宋" w:eastAsia="仿宋"/>
          <w:color w:val="000000"/>
          <w:sz w:val="28"/>
          <w:szCs w:val="28"/>
        </w:rPr>
        <w:t>500</w:t>
      </w:r>
      <w:r>
        <w:rPr>
          <w:rFonts w:hint="eastAsia" w:ascii="仿宋" w:hAnsi="仿宋" w:eastAsia="仿宋"/>
          <w:color w:val="000000"/>
          <w:sz w:val="28"/>
          <w:szCs w:val="28"/>
        </w:rPr>
        <w:t>强”榜单，</w:t>
      </w:r>
      <w:r>
        <w:rPr>
          <w:rFonts w:ascii="仿宋" w:hAnsi="仿宋" w:eastAsia="仿宋"/>
          <w:color w:val="000000"/>
          <w:sz w:val="28"/>
          <w:szCs w:val="28"/>
        </w:rPr>
        <w:t>26</w:t>
      </w:r>
      <w:r>
        <w:rPr>
          <w:rFonts w:hint="eastAsia" w:ascii="仿宋" w:hAnsi="仿宋" w:eastAsia="仿宋"/>
          <w:color w:val="000000"/>
          <w:sz w:val="28"/>
          <w:szCs w:val="28"/>
        </w:rPr>
        <w:t>家企业入围江西省民营企业百强、</w:t>
      </w:r>
      <w:r>
        <w:rPr>
          <w:rFonts w:ascii="仿宋" w:hAnsi="仿宋" w:eastAsia="仿宋"/>
          <w:color w:val="000000"/>
          <w:sz w:val="28"/>
          <w:szCs w:val="28"/>
        </w:rPr>
        <w:t>29</w:t>
      </w:r>
      <w:r>
        <w:rPr>
          <w:rFonts w:hint="eastAsia" w:ascii="仿宋" w:hAnsi="仿宋" w:eastAsia="仿宋"/>
          <w:color w:val="000000"/>
          <w:sz w:val="28"/>
          <w:szCs w:val="28"/>
        </w:rPr>
        <w:t>家企业入围江西省制造业民营企业百强。</w:t>
      </w:r>
    </w:p>
    <w:p w14:paraId="583CC0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ascii="仿宋" w:hAnsi="仿宋" w:eastAsia="仿宋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既是“世界铜都”，更是“民企高地”，鹰潭的故事证明：城市规模不是决定发展的唯一因素，产业生态、创新环境和务实作风同样重要。这座小城正以其独特的发展路径，为江西民营经济高质量发展提供有益借鉴。</w:t>
      </w:r>
    </w:p>
    <w:sectPr>
      <w:pgSz w:w="11906" w:h="16838"/>
      <w:pgMar w:top="1440" w:right="1797" w:bottom="1440" w:left="1797" w:header="851" w:footer="992" w:gutter="0"/>
      <w:cols w:space="0" w:num="1"/>
      <w:rtlGutter w:val="0"/>
      <w:docGrid w:type="linesAndChars" w:linePitch="428" w:charSpace="-60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MathJax_Vector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MathJax_Vector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等线">
    <w:altName w:val="华文仿宋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中宋">
    <w:altName w:val="汉仪中宋简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汉仪中宋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39"/>
  <w:drawingGridVerticalSpacing w:val="214"/>
  <w:displayHorizontalDrawingGridEvery w:val="2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ZTg5MTJiNThlZjQ3NzQxNWJmMjFkMTgzYjE0ZjEwMTUifQ=="/>
  </w:docVars>
  <w:rsids>
    <w:rsidRoot w:val="00926BC2"/>
    <w:rsid w:val="00003DD9"/>
    <w:rsid w:val="000305E6"/>
    <w:rsid w:val="000C3809"/>
    <w:rsid w:val="000C68FB"/>
    <w:rsid w:val="000E643B"/>
    <w:rsid w:val="00123704"/>
    <w:rsid w:val="00133337"/>
    <w:rsid w:val="00133BCD"/>
    <w:rsid w:val="001421C1"/>
    <w:rsid w:val="001440A6"/>
    <w:rsid w:val="00144DF0"/>
    <w:rsid w:val="0019242E"/>
    <w:rsid w:val="001D0E22"/>
    <w:rsid w:val="001D75B3"/>
    <w:rsid w:val="001E46B4"/>
    <w:rsid w:val="001F00D1"/>
    <w:rsid w:val="002001CC"/>
    <w:rsid w:val="00223BBC"/>
    <w:rsid w:val="00224650"/>
    <w:rsid w:val="0024458D"/>
    <w:rsid w:val="002606C4"/>
    <w:rsid w:val="0026283A"/>
    <w:rsid w:val="002D117E"/>
    <w:rsid w:val="002E0AD9"/>
    <w:rsid w:val="003359AD"/>
    <w:rsid w:val="00336F9C"/>
    <w:rsid w:val="003371B0"/>
    <w:rsid w:val="0034035D"/>
    <w:rsid w:val="00346993"/>
    <w:rsid w:val="00365323"/>
    <w:rsid w:val="00367921"/>
    <w:rsid w:val="00395F8B"/>
    <w:rsid w:val="003A7D88"/>
    <w:rsid w:val="003B19AA"/>
    <w:rsid w:val="00403B28"/>
    <w:rsid w:val="00412E9C"/>
    <w:rsid w:val="00433816"/>
    <w:rsid w:val="00441C13"/>
    <w:rsid w:val="004A1109"/>
    <w:rsid w:val="004C1ED1"/>
    <w:rsid w:val="004C3515"/>
    <w:rsid w:val="004F12A4"/>
    <w:rsid w:val="004F21DB"/>
    <w:rsid w:val="00517997"/>
    <w:rsid w:val="0053141C"/>
    <w:rsid w:val="00534FCA"/>
    <w:rsid w:val="0054736E"/>
    <w:rsid w:val="0056711F"/>
    <w:rsid w:val="005937B0"/>
    <w:rsid w:val="005D1989"/>
    <w:rsid w:val="005D49D3"/>
    <w:rsid w:val="006057CE"/>
    <w:rsid w:val="0064022F"/>
    <w:rsid w:val="0064261E"/>
    <w:rsid w:val="00645E4D"/>
    <w:rsid w:val="006933E8"/>
    <w:rsid w:val="006B0AE1"/>
    <w:rsid w:val="006F0929"/>
    <w:rsid w:val="007050B1"/>
    <w:rsid w:val="007073E0"/>
    <w:rsid w:val="007409E6"/>
    <w:rsid w:val="0074332E"/>
    <w:rsid w:val="00764AAF"/>
    <w:rsid w:val="00775798"/>
    <w:rsid w:val="00782C0B"/>
    <w:rsid w:val="0079161A"/>
    <w:rsid w:val="007A4865"/>
    <w:rsid w:val="007C77C7"/>
    <w:rsid w:val="008935AB"/>
    <w:rsid w:val="008C03FE"/>
    <w:rsid w:val="008C6D98"/>
    <w:rsid w:val="00926BC2"/>
    <w:rsid w:val="00926E57"/>
    <w:rsid w:val="009367BD"/>
    <w:rsid w:val="009375DF"/>
    <w:rsid w:val="00941E97"/>
    <w:rsid w:val="009677C3"/>
    <w:rsid w:val="00972C8B"/>
    <w:rsid w:val="00993251"/>
    <w:rsid w:val="009A23C7"/>
    <w:rsid w:val="009C5DB3"/>
    <w:rsid w:val="009D6149"/>
    <w:rsid w:val="009F3058"/>
    <w:rsid w:val="00A12A58"/>
    <w:rsid w:val="00A53796"/>
    <w:rsid w:val="00A710FD"/>
    <w:rsid w:val="00A76964"/>
    <w:rsid w:val="00A77914"/>
    <w:rsid w:val="00AC1BA9"/>
    <w:rsid w:val="00AC5FC0"/>
    <w:rsid w:val="00AD5960"/>
    <w:rsid w:val="00AF5725"/>
    <w:rsid w:val="00B10DAB"/>
    <w:rsid w:val="00B11D9C"/>
    <w:rsid w:val="00B168B6"/>
    <w:rsid w:val="00B30C0D"/>
    <w:rsid w:val="00B35D8A"/>
    <w:rsid w:val="00B81760"/>
    <w:rsid w:val="00B85B1D"/>
    <w:rsid w:val="00BA131C"/>
    <w:rsid w:val="00BA4AAF"/>
    <w:rsid w:val="00BA51D5"/>
    <w:rsid w:val="00BA609F"/>
    <w:rsid w:val="00BB3A4F"/>
    <w:rsid w:val="00BB6173"/>
    <w:rsid w:val="00BD5D7F"/>
    <w:rsid w:val="00BE5B19"/>
    <w:rsid w:val="00C05584"/>
    <w:rsid w:val="00C55055"/>
    <w:rsid w:val="00C738E3"/>
    <w:rsid w:val="00C86CF1"/>
    <w:rsid w:val="00CC14B2"/>
    <w:rsid w:val="00D20E87"/>
    <w:rsid w:val="00D64361"/>
    <w:rsid w:val="00D67E4E"/>
    <w:rsid w:val="00D87DB5"/>
    <w:rsid w:val="00D90026"/>
    <w:rsid w:val="00D978B7"/>
    <w:rsid w:val="00D97A32"/>
    <w:rsid w:val="00DA19CA"/>
    <w:rsid w:val="00DB7EB4"/>
    <w:rsid w:val="00DF5423"/>
    <w:rsid w:val="00E10B28"/>
    <w:rsid w:val="00E115C5"/>
    <w:rsid w:val="00E15627"/>
    <w:rsid w:val="00E2305B"/>
    <w:rsid w:val="00E807F5"/>
    <w:rsid w:val="00E82F0E"/>
    <w:rsid w:val="00E96EAD"/>
    <w:rsid w:val="00EA16BE"/>
    <w:rsid w:val="00EA235C"/>
    <w:rsid w:val="00EA4751"/>
    <w:rsid w:val="00EA5207"/>
    <w:rsid w:val="00EB7EBF"/>
    <w:rsid w:val="00EC1A77"/>
    <w:rsid w:val="00EE467F"/>
    <w:rsid w:val="00EF36AF"/>
    <w:rsid w:val="00F23A0A"/>
    <w:rsid w:val="00F313C4"/>
    <w:rsid w:val="00F52080"/>
    <w:rsid w:val="00F537D4"/>
    <w:rsid w:val="00F542F7"/>
    <w:rsid w:val="00F56869"/>
    <w:rsid w:val="00F82FC3"/>
    <w:rsid w:val="00F94E52"/>
    <w:rsid w:val="00FA0BC0"/>
    <w:rsid w:val="00FA4F84"/>
    <w:rsid w:val="00FB0304"/>
    <w:rsid w:val="00FB4E1D"/>
    <w:rsid w:val="00FC2EEE"/>
    <w:rsid w:val="00FD48DE"/>
    <w:rsid w:val="00FD7C8E"/>
    <w:rsid w:val="00FF0F1A"/>
    <w:rsid w:val="00FF76E5"/>
    <w:rsid w:val="05647F95"/>
    <w:rsid w:val="0E6F7EDF"/>
    <w:rsid w:val="19E71F9E"/>
    <w:rsid w:val="23B341E6"/>
    <w:rsid w:val="27B2770C"/>
    <w:rsid w:val="2DCF6290"/>
    <w:rsid w:val="2FBF1EFB"/>
    <w:rsid w:val="33446DD8"/>
    <w:rsid w:val="33B45D12"/>
    <w:rsid w:val="36F11025"/>
    <w:rsid w:val="38523D46"/>
    <w:rsid w:val="3EE20506"/>
    <w:rsid w:val="58095888"/>
    <w:rsid w:val="6EDC2339"/>
    <w:rsid w:val="6EFC53C4"/>
    <w:rsid w:val="73F7CEED"/>
    <w:rsid w:val="776C177B"/>
    <w:rsid w:val="EDB0DD28"/>
    <w:rsid w:val="FFFBF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8"/>
      <w:szCs w:val="22"/>
      <w:lang w:val="en-US" w:eastAsia="zh-CN" w:bidi="ar-SA"/>
    </w:rPr>
  </w:style>
  <w:style w:type="paragraph" w:styleId="2">
    <w:name w:val="heading 1"/>
    <w:basedOn w:val="1"/>
    <w:next w:val="1"/>
    <w:link w:val="7"/>
    <w:qFormat/>
    <w:locked/>
    <w:uiPriority w:val="99"/>
    <w:pPr>
      <w:spacing w:beforeAutospacing="1" w:afterAutospacing="1"/>
      <w:jc w:val="left"/>
      <w:outlineLvl w:val="0"/>
    </w:pPr>
    <w:rPr>
      <w:rFonts w:ascii="宋体" w:hAnsi="宋体" w:eastAsia="宋体"/>
      <w:b/>
      <w:bCs/>
      <w:kern w:val="44"/>
      <w:sz w:val="48"/>
      <w:szCs w:val="48"/>
    </w:rPr>
  </w:style>
  <w:style w:type="character" w:default="1" w:styleId="6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Heading 1 Char"/>
    <w:basedOn w:val="6"/>
    <w:link w:val="2"/>
    <w:qFormat/>
    <w:locked/>
    <w:uiPriority w:val="99"/>
    <w:rPr>
      <w:rFonts w:ascii="宋体" w:hAnsi="宋体" w:eastAsia="宋体" w:cs="Times New Roman"/>
      <w:b/>
      <w:bCs/>
      <w:kern w:val="44"/>
      <w:sz w:val="48"/>
      <w:szCs w:val="48"/>
      <w:lang w:val="en-US" w:eastAsia="zh-CN" w:bidi="ar-SA"/>
    </w:rPr>
  </w:style>
  <w:style w:type="character" w:customStyle="1" w:styleId="8">
    <w:name w:val="Footer Char"/>
    <w:basedOn w:val="6"/>
    <w:link w:val="3"/>
    <w:qFormat/>
    <w:locked/>
    <w:uiPriority w:val="99"/>
    <w:rPr>
      <w:rFonts w:cs="Times New Roman"/>
      <w:sz w:val="18"/>
      <w:szCs w:val="18"/>
    </w:rPr>
  </w:style>
  <w:style w:type="character" w:customStyle="1" w:styleId="9">
    <w:name w:val="Header Char"/>
    <w:basedOn w:val="6"/>
    <w:link w:val="4"/>
    <w:qFormat/>
    <w:locked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Pages>7</Pages>
  <Words>3570</Words>
  <Characters>3882</Characters>
  <Lines>0</Lines>
  <Paragraphs>0</Paragraphs>
  <TotalTime>17</TotalTime>
  <ScaleCrop>false</ScaleCrop>
  <LinksUpToDate>false</LinksUpToDate>
  <CharactersWithSpaces>4016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2026-01-13T17:45:00Z</dcterms:created>
  <dc:creator>听 林</dc:creator>
  <cp:lastModifiedBy>牧风</cp:lastModifiedBy>
  <cp:lastPrinted>2025-01-17T00:31:00Z</cp:lastPrinted>
  <dcterms:modified xsi:type="dcterms:W3CDTF">2026-01-18T10:46:38Z</dcterms:modified>
  <dc:title>参评作品推荐表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eyJoZGlkIjoiMGQ1NzBhNzEzMzI3N2ZjOWU0YmEwZDk5NmZkMTkyYTMiLCJ1c2VySWQiOiIzMDc2NzE1OTcifQ==</vt:lpwstr>
  </property>
  <property fmtid="{D5CDD505-2E9C-101B-9397-08002B2CF9AE}" pid="3" name="KSOProductBuildVer">
    <vt:lpwstr>2052-12.8.2.1115</vt:lpwstr>
  </property>
  <property fmtid="{D5CDD505-2E9C-101B-9397-08002B2CF9AE}" pid="4" name="ICV">
    <vt:lpwstr>6252BD8FCF5E450788824C4AD65F0098_12</vt:lpwstr>
  </property>
</Properties>
</file>