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FF81">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2"/>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82"/>
        <w:gridCol w:w="455"/>
        <w:gridCol w:w="251"/>
        <w:gridCol w:w="426"/>
        <w:gridCol w:w="147"/>
        <w:gridCol w:w="843"/>
        <w:gridCol w:w="591"/>
        <w:gridCol w:w="419"/>
        <w:gridCol w:w="400"/>
        <w:gridCol w:w="381"/>
        <w:gridCol w:w="74"/>
        <w:gridCol w:w="189"/>
        <w:gridCol w:w="497"/>
        <w:gridCol w:w="421"/>
        <w:gridCol w:w="146"/>
        <w:gridCol w:w="709"/>
        <w:gridCol w:w="661"/>
        <w:gridCol w:w="475"/>
        <w:gridCol w:w="843"/>
        <w:gridCol w:w="714"/>
      </w:tblGrid>
      <w:tr w14:paraId="1542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1444" w:type="dxa"/>
            <w:gridSpan w:val="3"/>
            <w:vAlign w:val="center"/>
          </w:tcPr>
          <w:p w14:paraId="478FB28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32" w:type="dxa"/>
            <w:gridSpan w:val="9"/>
            <w:vAlign w:val="center"/>
          </w:tcPr>
          <w:p w14:paraId="6EC0EDDC">
            <w:pPr>
              <w:spacing w:line="300" w:lineRule="exact"/>
              <w:rPr>
                <w:rFonts w:hint="eastAsia" w:ascii="华文中宋" w:hAnsi="华文中宋" w:eastAsia="华文中宋" w:cs="Times New Roman"/>
                <w:szCs w:val="21"/>
              </w:rPr>
            </w:pPr>
            <w:r>
              <w:rPr>
                <w:rFonts w:hint="eastAsia" w:ascii="仿宋" w:hAnsi="仿宋" w:eastAsia="仿宋" w:cs="仿宋"/>
                <w:color w:val="000000"/>
                <w:sz w:val="21"/>
                <w:szCs w:val="21"/>
              </w:rPr>
              <w:t>生命正“接力”前行</w:t>
            </w:r>
          </w:p>
        </w:tc>
        <w:tc>
          <w:tcPr>
            <w:tcW w:w="1962" w:type="dxa"/>
            <w:gridSpan w:val="5"/>
            <w:vAlign w:val="center"/>
          </w:tcPr>
          <w:p w14:paraId="5D297B7C">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7A7204AF">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693" w:type="dxa"/>
            <w:gridSpan w:val="4"/>
            <w:vAlign w:val="center"/>
          </w:tcPr>
          <w:p w14:paraId="032A9FD8">
            <w:pPr>
              <w:spacing w:line="300" w:lineRule="exact"/>
              <w:rPr>
                <w:rFonts w:hint="default" w:ascii="仿宋" w:hAnsi="仿宋" w:eastAsia="仿宋" w:cs="Times New Roman"/>
                <w:color w:val="000000"/>
                <w:szCs w:val="21"/>
                <w:lang w:val="en-US"/>
              </w:rPr>
            </w:pPr>
            <w:r>
              <w:rPr>
                <w:rFonts w:hint="eastAsia" w:ascii="仿宋" w:hAnsi="仿宋" w:eastAsia="仿宋" w:cs="Times New Roman"/>
                <w:color w:val="000000"/>
                <w:sz w:val="21"/>
                <w:szCs w:val="21"/>
                <w:lang w:val="en-US" w:eastAsia="zh-CN"/>
              </w:rPr>
              <w:t>通讯（报刊）</w:t>
            </w:r>
          </w:p>
        </w:tc>
      </w:tr>
      <w:tr w14:paraId="54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444" w:type="dxa"/>
            <w:gridSpan w:val="3"/>
            <w:vAlign w:val="center"/>
          </w:tcPr>
          <w:p w14:paraId="3FF5D954">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532" w:type="dxa"/>
            <w:gridSpan w:val="9"/>
            <w:vAlign w:val="center"/>
          </w:tcPr>
          <w:p w14:paraId="559F53AA">
            <w:pPr>
              <w:spacing w:line="300" w:lineRule="exact"/>
              <w:rPr>
                <w:rFonts w:hint="default" w:ascii="华文中宋" w:hAnsi="华文中宋" w:eastAsia="华文中宋" w:cs="Times New Roman"/>
                <w:color w:val="000000"/>
                <w:szCs w:val="21"/>
                <w:lang w:val="en-US" w:eastAsia="zh-CN"/>
              </w:rPr>
            </w:pPr>
            <w:r>
              <w:rPr>
                <w:rFonts w:hint="eastAsia" w:ascii="仿宋" w:hAnsi="仿宋" w:eastAsia="仿宋" w:cs="仿宋"/>
                <w:color w:val="000000"/>
                <w:sz w:val="21"/>
                <w:szCs w:val="21"/>
                <w:lang w:val="en-US" w:eastAsia="zh-CN"/>
              </w:rPr>
              <w:t>1362字</w:t>
            </w:r>
          </w:p>
        </w:tc>
        <w:tc>
          <w:tcPr>
            <w:tcW w:w="1253" w:type="dxa"/>
            <w:gridSpan w:val="4"/>
            <w:vAlign w:val="center"/>
          </w:tcPr>
          <w:p w14:paraId="5C598D07">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5"/>
            <w:vAlign w:val="center"/>
          </w:tcPr>
          <w:p w14:paraId="72843170">
            <w:pPr>
              <w:spacing w:line="300" w:lineRule="exact"/>
              <w:rPr>
                <w:rFonts w:hint="eastAsia" w:ascii="仿宋_GB2312" w:hAnsi="仿宋" w:eastAsia="仿宋_GB2312" w:cs="Times New Roman"/>
                <w:color w:val="000000"/>
                <w:szCs w:val="21"/>
              </w:rPr>
            </w:pPr>
          </w:p>
        </w:tc>
      </w:tr>
      <w:tr w14:paraId="6036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444" w:type="dxa"/>
            <w:gridSpan w:val="3"/>
            <w:vAlign w:val="center"/>
          </w:tcPr>
          <w:p w14:paraId="6F243A8B">
            <w:pPr>
              <w:spacing w:line="300" w:lineRule="exact"/>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BE6C940">
            <w:pPr>
              <w:spacing w:line="300" w:lineRule="exact"/>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721" w:type="dxa"/>
            <w:gridSpan w:val="10"/>
            <w:vAlign w:val="center"/>
          </w:tcPr>
          <w:p w14:paraId="3FC385AD">
            <w:pPr>
              <w:spacing w:line="300" w:lineRule="exact"/>
              <w:rPr>
                <w:rFonts w:hint="default" w:ascii="仿宋_GB2312" w:hAnsi="华文中宋" w:eastAsia="仿宋_GB2312" w:cs="Times New Roman"/>
                <w:color w:val="000000"/>
                <w:szCs w:val="21"/>
                <w:lang w:val="en-US" w:eastAsia="zh-CN"/>
              </w:rPr>
            </w:pPr>
            <w:r>
              <w:rPr>
                <w:rFonts w:hint="eastAsia" w:ascii="仿宋" w:hAnsi="仿宋" w:eastAsia="仿宋" w:cs="仿宋"/>
                <w:color w:val="000000"/>
                <w:sz w:val="21"/>
                <w:szCs w:val="21"/>
                <w:lang w:val="en-US" w:eastAsia="zh-CN"/>
              </w:rPr>
              <w:t>朱烈闯、徐欢</w:t>
            </w:r>
          </w:p>
        </w:tc>
        <w:tc>
          <w:tcPr>
            <w:tcW w:w="918" w:type="dxa"/>
            <w:gridSpan w:val="2"/>
            <w:vAlign w:val="center"/>
          </w:tcPr>
          <w:p w14:paraId="4AEC072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548" w:type="dxa"/>
            <w:gridSpan w:val="6"/>
            <w:vAlign w:val="center"/>
          </w:tcPr>
          <w:p w14:paraId="5BDA4930">
            <w:pPr>
              <w:spacing w:line="300" w:lineRule="exact"/>
              <w:rPr>
                <w:rFonts w:hint="default" w:ascii="仿宋" w:hAnsi="仿宋" w:eastAsia="仿宋" w:cs="Times New Roman"/>
                <w:color w:val="000000"/>
                <w:w w:val="95"/>
                <w:szCs w:val="21"/>
                <w:lang w:val="en-US" w:eastAsia="zh-CN"/>
              </w:rPr>
            </w:pPr>
            <w:r>
              <w:rPr>
                <w:rFonts w:hint="eastAsia" w:ascii="仿宋" w:hAnsi="仿宋" w:eastAsia="仿宋" w:cs="仿宋"/>
                <w:color w:val="000000"/>
                <w:sz w:val="21"/>
                <w:szCs w:val="21"/>
                <w:lang w:val="en-US" w:eastAsia="zh-CN"/>
              </w:rPr>
              <w:t>夏东华、邹志兵</w:t>
            </w:r>
          </w:p>
        </w:tc>
      </w:tr>
      <w:tr w14:paraId="44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4" w:type="dxa"/>
            <w:gridSpan w:val="3"/>
            <w:vAlign w:val="center"/>
          </w:tcPr>
          <w:p w14:paraId="2C79F53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5DC188D6">
            <w:pPr>
              <w:spacing w:line="300" w:lineRule="exact"/>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鹰潭市融媒体中心</w:t>
            </w:r>
          </w:p>
        </w:tc>
        <w:tc>
          <w:tcPr>
            <w:tcW w:w="1962" w:type="dxa"/>
            <w:gridSpan w:val="6"/>
            <w:vAlign w:val="center"/>
          </w:tcPr>
          <w:p w14:paraId="64AB609E">
            <w:pPr>
              <w:spacing w:line="300" w:lineRule="exact"/>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发布端/账号/</w:t>
            </w:r>
          </w:p>
          <w:p w14:paraId="1DA6764D">
            <w:pPr>
              <w:spacing w:line="300" w:lineRule="exact"/>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媒体名称</w:t>
            </w:r>
          </w:p>
        </w:tc>
        <w:tc>
          <w:tcPr>
            <w:tcW w:w="3548" w:type="dxa"/>
            <w:gridSpan w:val="6"/>
            <w:vAlign w:val="center"/>
          </w:tcPr>
          <w:p w14:paraId="161526D7">
            <w:pPr>
              <w:spacing w:line="300" w:lineRule="exact"/>
              <w:rPr>
                <w:rFonts w:hint="default" w:ascii="仿宋_GB2312" w:hAnsi="仿宋" w:eastAsia="仿宋_GB2312" w:cs="Times New Roman"/>
                <w:color w:val="000000"/>
                <w:sz w:val="18"/>
                <w:szCs w:val="18"/>
                <w:highlight w:val="green"/>
                <w:lang w:val="en-US" w:eastAsia="zh-CN"/>
              </w:rPr>
            </w:pPr>
            <w:r>
              <w:rPr>
                <w:rFonts w:hint="eastAsia" w:ascii="仿宋" w:hAnsi="仿宋" w:eastAsia="仿宋" w:cs="Times New Roman"/>
                <w:color w:val="000000"/>
                <w:sz w:val="21"/>
                <w:szCs w:val="21"/>
                <w:lang w:val="en-US" w:eastAsia="zh-CN"/>
              </w:rPr>
              <w:t>鹰潭日报</w:t>
            </w:r>
          </w:p>
        </w:tc>
      </w:tr>
      <w:tr w14:paraId="7541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jc w:val="center"/>
        </w:trPr>
        <w:tc>
          <w:tcPr>
            <w:tcW w:w="2268" w:type="dxa"/>
            <w:gridSpan w:val="6"/>
            <w:vAlign w:val="center"/>
          </w:tcPr>
          <w:p w14:paraId="7546E08B">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3815" w:type="dxa"/>
            <w:gridSpan w:val="9"/>
            <w:vAlign w:val="center"/>
          </w:tcPr>
          <w:p w14:paraId="3B213BAB">
            <w:pPr>
              <w:spacing w:line="300" w:lineRule="exact"/>
              <w:rPr>
                <w:rFonts w:hint="eastAsia"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一版</w:t>
            </w:r>
          </w:p>
        </w:tc>
        <w:tc>
          <w:tcPr>
            <w:tcW w:w="1516" w:type="dxa"/>
            <w:gridSpan w:val="3"/>
            <w:vAlign w:val="center"/>
          </w:tcPr>
          <w:p w14:paraId="04FADCAD">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2032" w:type="dxa"/>
            <w:gridSpan w:val="3"/>
            <w:vAlign w:val="center"/>
          </w:tcPr>
          <w:p w14:paraId="26F08C40">
            <w:pPr>
              <w:spacing w:line="300" w:lineRule="exact"/>
              <w:rPr>
                <w:rFonts w:hint="eastAsia" w:ascii="仿宋" w:hAnsi="仿宋" w:eastAsia="仿宋" w:cs="Times New Roman"/>
                <w:color w:val="000000"/>
                <w:szCs w:val="21"/>
              </w:rPr>
            </w:pPr>
            <w:r>
              <w:rPr>
                <w:rFonts w:hint="eastAsia" w:ascii="仿宋" w:hAnsi="仿宋" w:eastAsia="仿宋" w:cs="Times New Roman"/>
                <w:color w:val="000000"/>
                <w:sz w:val="21"/>
                <w:szCs w:val="21"/>
              </w:rPr>
              <w:t>202</w:t>
            </w:r>
            <w:r>
              <w:rPr>
                <w:rFonts w:hint="eastAsia" w:ascii="仿宋" w:hAnsi="仿宋" w:eastAsia="仿宋" w:cs="Times New Roman"/>
                <w:color w:val="000000"/>
                <w:sz w:val="21"/>
                <w:szCs w:val="21"/>
                <w:lang w:val="en-US" w:eastAsia="zh-CN"/>
              </w:rPr>
              <w:t>5</w:t>
            </w:r>
            <w:r>
              <w:rPr>
                <w:rFonts w:hint="eastAsia" w:ascii="仿宋" w:hAnsi="仿宋" w:eastAsia="仿宋" w:cs="Times New Roman"/>
                <w:color w:val="000000"/>
                <w:sz w:val="21"/>
                <w:szCs w:val="21"/>
              </w:rPr>
              <w:t>年</w:t>
            </w:r>
            <w:r>
              <w:rPr>
                <w:rFonts w:hint="eastAsia" w:ascii="仿宋" w:hAnsi="仿宋" w:eastAsia="仿宋" w:cs="Times New Roman"/>
                <w:color w:val="000000"/>
                <w:sz w:val="21"/>
                <w:szCs w:val="21"/>
                <w:lang w:val="en-US" w:eastAsia="zh-CN"/>
              </w:rPr>
              <w:t>11</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26</w:t>
            </w:r>
            <w:r>
              <w:rPr>
                <w:rFonts w:hint="eastAsia" w:ascii="仿宋" w:hAnsi="仿宋" w:eastAsia="仿宋" w:cs="Times New Roman"/>
                <w:color w:val="000000"/>
                <w:sz w:val="21"/>
                <w:szCs w:val="21"/>
              </w:rPr>
              <w:t>日</w:t>
            </w:r>
          </w:p>
        </w:tc>
      </w:tr>
      <w:tr w14:paraId="478A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exact"/>
          <w:jc w:val="center"/>
        </w:trPr>
        <w:tc>
          <w:tcPr>
            <w:tcW w:w="1444" w:type="dxa"/>
            <w:gridSpan w:val="3"/>
            <w:vAlign w:val="center"/>
          </w:tcPr>
          <w:p w14:paraId="6D8AEC4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4639" w:type="dxa"/>
            <w:gridSpan w:val="12"/>
            <w:vAlign w:val="center"/>
          </w:tcPr>
          <w:p w14:paraId="059685E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000000"/>
                <w:szCs w:val="21"/>
              </w:rPr>
            </w:pPr>
          </w:p>
        </w:tc>
        <w:tc>
          <w:tcPr>
            <w:tcW w:w="2834" w:type="dxa"/>
            <w:gridSpan w:val="5"/>
            <w:vAlign w:val="center"/>
          </w:tcPr>
          <w:p w14:paraId="7A9AE3C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2321175F">
            <w:pPr>
              <w:spacing w:line="300" w:lineRule="exact"/>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否</w:t>
            </w:r>
          </w:p>
        </w:tc>
      </w:tr>
      <w:tr w14:paraId="17DD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jc w:val="center"/>
        </w:trPr>
        <w:tc>
          <w:tcPr>
            <w:tcW w:w="989" w:type="dxa"/>
            <w:gridSpan w:val="2"/>
            <w:vAlign w:val="center"/>
          </w:tcPr>
          <w:p w14:paraId="62F2972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0F9D810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286B6C1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C1E8E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7B5E6C3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7069A04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19"/>
            <w:vAlign w:val="center"/>
          </w:tcPr>
          <w:p w14:paraId="21DC34AD">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Times New Roman"/>
                <w:color w:val="000000"/>
                <w:w w:val="95"/>
                <w:szCs w:val="21"/>
              </w:rPr>
            </w:pPr>
            <w:r>
              <w:rPr>
                <w:rFonts w:hint="eastAsia" w:ascii="仿宋" w:hAnsi="仿宋" w:eastAsia="仿宋" w:cs="仿宋"/>
                <w:color w:val="000000"/>
                <w:sz w:val="21"/>
                <w:szCs w:val="21"/>
                <w:lang w:val="en-US" w:eastAsia="zh-CN"/>
              </w:rPr>
              <w:t>2025年11月初，记者在朋友圈看到鹰潭市红十字会撰写的叶子（化名）家属进行器官捐献的推文，敏锐捕捉到该新闻事件是传递了人间温情与生命接力的崇高价值的正能量事件，为了还原这一感人故事，记者通过多次联系鹰潭市红十字会、南昌大学第三附属医院医疗团队以及远在上海的家属，力争还原叶子（化名）从遭遇车祸、抢救无效到家属捐献、摘除手术的全过程以及心路历程，通过展现普通家庭的大爱抉择和我国器官捐献现状，反映出我国器官捐献工作的长足进步和面临的困难挑战。</w:t>
            </w:r>
          </w:p>
        </w:tc>
      </w:tr>
      <w:tr w14:paraId="2023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exact"/>
          <w:jc w:val="center"/>
        </w:trPr>
        <w:tc>
          <w:tcPr>
            <w:tcW w:w="989" w:type="dxa"/>
            <w:gridSpan w:val="2"/>
            <w:vAlign w:val="center"/>
          </w:tcPr>
          <w:p w14:paraId="2A4F3D2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3CE8BA2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3A7FF3">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2A4B6A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19"/>
            <w:vAlign w:val="center"/>
          </w:tcPr>
          <w:p w14:paraId="3392C1DA">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以平凡家庭的大爱，助力崇德向善社会风尚的培育。报道发出后，新媒体阅读量迅速突破3.9万，引发全市范围对器官捐献的关注。同时，激发公众对捐献者的敬意，形成“敬畏生命、传递善意”的正向舆论氛围。</w:t>
            </w:r>
          </w:p>
        </w:tc>
      </w:tr>
      <w:tr w14:paraId="14D4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exact"/>
          <w:jc w:val="center"/>
        </w:trPr>
        <w:tc>
          <w:tcPr>
            <w:tcW w:w="707" w:type="dxa"/>
            <w:vMerge w:val="restart"/>
            <w:tcBorders>
              <w:top w:val="single" w:color="auto" w:sz="4" w:space="0"/>
              <w:left w:val="single" w:color="auto" w:sz="4" w:space="0"/>
              <w:bottom w:val="single" w:color="auto" w:sz="4" w:space="0"/>
              <w:right w:val="single" w:color="auto" w:sz="4" w:space="0"/>
            </w:tcBorders>
            <w:vAlign w:val="center"/>
          </w:tcPr>
          <w:p w14:paraId="1624CB43">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C968609">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55A0BFB1">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E6BA87">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4D4FC6B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新媒体传播平台网址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088723F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w:t>
            </w:r>
          </w:p>
        </w:tc>
        <w:tc>
          <w:tcPr>
            <w:tcW w:w="7510" w:type="dxa"/>
            <w:gridSpan w:val="16"/>
            <w:tcBorders>
              <w:top w:val="single" w:color="auto" w:sz="4" w:space="0"/>
              <w:left w:val="single" w:color="auto" w:sz="4" w:space="0"/>
              <w:bottom w:val="single" w:color="auto" w:sz="4" w:space="0"/>
              <w:right w:val="single" w:color="auto" w:sz="4" w:space="0"/>
            </w:tcBorders>
            <w:vAlign w:val="center"/>
          </w:tcPr>
          <w:p w14:paraId="437C5BA7">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https://app.ytnews.cn/webDetails/news?id=12738457&amp;tenantId=301&amp;uid=6833dad84faa710019de787e</w:t>
            </w:r>
          </w:p>
        </w:tc>
      </w:tr>
      <w:tr w14:paraId="25D3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A4B0500">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3B0B9D34">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val="en-US" w:eastAsia="zh-CN"/>
              </w:rPr>
            </w:pPr>
          </w:p>
        </w:tc>
        <w:tc>
          <w:tcPr>
            <w:tcW w:w="426" w:type="dxa"/>
            <w:tcBorders>
              <w:top w:val="single" w:color="auto" w:sz="4" w:space="0"/>
              <w:left w:val="single" w:color="auto" w:sz="4" w:space="0"/>
              <w:bottom w:val="single" w:color="auto" w:sz="4" w:space="0"/>
              <w:right w:val="single" w:color="auto" w:sz="4" w:space="0"/>
            </w:tcBorders>
            <w:vAlign w:val="center"/>
          </w:tcPr>
          <w:p w14:paraId="479AA35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w:t>
            </w:r>
          </w:p>
        </w:tc>
        <w:tc>
          <w:tcPr>
            <w:tcW w:w="7510" w:type="dxa"/>
            <w:gridSpan w:val="16"/>
            <w:tcBorders>
              <w:top w:val="single" w:color="auto" w:sz="4" w:space="0"/>
              <w:left w:val="single" w:color="auto" w:sz="4" w:space="0"/>
              <w:bottom w:val="single" w:color="auto" w:sz="4" w:space="0"/>
              <w:right w:val="single" w:color="auto" w:sz="4" w:space="0"/>
            </w:tcBorders>
            <w:vAlign w:val="center"/>
          </w:tcPr>
          <w:p w14:paraId="12782296">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 xml:space="preserve">    </w:t>
            </w:r>
          </w:p>
        </w:tc>
      </w:tr>
      <w:tr w14:paraId="043A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3E9E2C12">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550D7113">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val="en-US" w:eastAsia="zh-CN"/>
              </w:rPr>
            </w:pPr>
          </w:p>
        </w:tc>
        <w:tc>
          <w:tcPr>
            <w:tcW w:w="426" w:type="dxa"/>
            <w:tcBorders>
              <w:top w:val="single" w:color="auto" w:sz="4" w:space="0"/>
              <w:left w:val="single" w:color="auto" w:sz="4" w:space="0"/>
              <w:bottom w:val="single" w:color="auto" w:sz="4" w:space="0"/>
              <w:right w:val="single" w:color="auto" w:sz="4" w:space="0"/>
            </w:tcBorders>
            <w:vAlign w:val="center"/>
          </w:tcPr>
          <w:p w14:paraId="7FB7CB2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c>
          <w:tcPr>
            <w:tcW w:w="7510" w:type="dxa"/>
            <w:gridSpan w:val="16"/>
            <w:tcBorders>
              <w:top w:val="single" w:color="auto" w:sz="4" w:space="0"/>
              <w:left w:val="single" w:color="auto" w:sz="4" w:space="0"/>
              <w:bottom w:val="single" w:color="auto" w:sz="4" w:space="0"/>
              <w:right w:val="single" w:color="auto" w:sz="4" w:space="0"/>
            </w:tcBorders>
            <w:vAlign w:val="center"/>
          </w:tcPr>
          <w:p w14:paraId="48F89A0A">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val="en-US" w:eastAsia="zh-CN"/>
              </w:rPr>
            </w:pPr>
          </w:p>
        </w:tc>
      </w:tr>
      <w:tr w14:paraId="4C0B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97FC8DF">
            <w:pPr>
              <w:widowControl/>
              <w:spacing w:line="300" w:lineRule="exact"/>
              <w:jc w:val="left"/>
              <w:rPr>
                <w:rFonts w:hint="eastAsia" w:ascii="华文中宋" w:hAnsi="华文中宋" w:eastAsia="华文中宋"/>
                <w:color w:val="000000"/>
                <w:sz w:val="28"/>
              </w:rPr>
            </w:pPr>
          </w:p>
        </w:tc>
        <w:tc>
          <w:tcPr>
            <w:tcW w:w="2404" w:type="dxa"/>
            <w:gridSpan w:val="6"/>
            <w:tcBorders>
              <w:top w:val="single" w:color="auto" w:sz="4" w:space="0"/>
              <w:left w:val="single" w:color="auto" w:sz="4" w:space="0"/>
              <w:bottom w:val="single" w:color="auto" w:sz="4" w:space="0"/>
              <w:right w:val="single" w:color="auto" w:sz="4" w:space="0"/>
            </w:tcBorders>
            <w:vAlign w:val="center"/>
          </w:tcPr>
          <w:p w14:paraId="4649FE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阅读量（浏览量、点击量）</w:t>
            </w:r>
          </w:p>
        </w:tc>
        <w:tc>
          <w:tcPr>
            <w:tcW w:w="1410" w:type="dxa"/>
            <w:gridSpan w:val="3"/>
            <w:tcBorders>
              <w:top w:val="single" w:color="auto" w:sz="4" w:space="0"/>
              <w:left w:val="single" w:color="auto" w:sz="4" w:space="0"/>
              <w:bottom w:val="single" w:color="auto" w:sz="4" w:space="0"/>
              <w:right w:val="single" w:color="auto" w:sz="4" w:space="0"/>
            </w:tcBorders>
            <w:vAlign w:val="center"/>
          </w:tcPr>
          <w:p w14:paraId="1FBC5A17">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5.9万</w:t>
            </w:r>
          </w:p>
        </w:tc>
        <w:tc>
          <w:tcPr>
            <w:tcW w:w="1141" w:type="dxa"/>
            <w:gridSpan w:val="4"/>
            <w:tcBorders>
              <w:top w:val="single" w:color="auto" w:sz="4" w:space="0"/>
              <w:left w:val="single" w:color="auto" w:sz="4" w:space="0"/>
              <w:bottom w:val="single" w:color="auto" w:sz="4" w:space="0"/>
              <w:right w:val="single" w:color="auto" w:sz="4" w:space="0"/>
            </w:tcBorders>
            <w:vAlign w:val="center"/>
          </w:tcPr>
          <w:p w14:paraId="17D8E80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转载量</w:t>
            </w:r>
          </w:p>
        </w:tc>
        <w:tc>
          <w:tcPr>
            <w:tcW w:w="1276" w:type="dxa"/>
            <w:gridSpan w:val="3"/>
            <w:tcBorders>
              <w:top w:val="single" w:color="auto" w:sz="4" w:space="0"/>
              <w:left w:val="single" w:color="auto" w:sz="4" w:space="0"/>
              <w:bottom w:val="single" w:color="auto" w:sz="4" w:space="0"/>
              <w:right w:val="single" w:color="auto" w:sz="4" w:space="0"/>
            </w:tcBorders>
            <w:vAlign w:val="center"/>
          </w:tcPr>
          <w:p w14:paraId="7749BC1D">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58</w:t>
            </w:r>
          </w:p>
        </w:tc>
        <w:tc>
          <w:tcPr>
            <w:tcW w:w="1136" w:type="dxa"/>
            <w:gridSpan w:val="2"/>
            <w:tcBorders>
              <w:top w:val="single" w:color="auto" w:sz="4" w:space="0"/>
              <w:left w:val="single" w:color="auto" w:sz="4" w:space="0"/>
              <w:bottom w:val="single" w:color="auto" w:sz="4" w:space="0"/>
              <w:right w:val="single" w:color="auto" w:sz="4" w:space="0"/>
            </w:tcBorders>
            <w:vAlign w:val="center"/>
          </w:tcPr>
          <w:p w14:paraId="62C29C7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EFA86A2">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151</w:t>
            </w:r>
          </w:p>
        </w:tc>
      </w:tr>
      <w:tr w14:paraId="491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7" w:hRule="exact"/>
          <w:jc w:val="center"/>
        </w:trPr>
        <w:tc>
          <w:tcPr>
            <w:tcW w:w="1444" w:type="dxa"/>
            <w:gridSpan w:val="3"/>
            <w:tcBorders>
              <w:bottom w:val="single" w:color="auto" w:sz="4" w:space="0"/>
            </w:tcBorders>
            <w:vAlign w:val="center"/>
          </w:tcPr>
          <w:p w14:paraId="31BD3A9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18"/>
            <w:tcBorders>
              <w:bottom w:val="single" w:color="auto" w:sz="4" w:space="0"/>
            </w:tcBorders>
            <w:vAlign w:val="center"/>
          </w:tcPr>
          <w:p w14:paraId="48CE315E">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该作品以高度的新闻敏锐性与深沉的人文关怀，捕捉并讲述了一个关于生命逝去与重生的感人故事。记者从社交平台的线索切入，真实还原了普通家庭面对巨大悲痛时作出的大爱抉择，以及医疗系统为生命“接力”所付出的努力。报道不仅细腻呈现了事件中的个体情感与生命尊严，更将其置于我国器官捐献事业发展的宏观背景下，使个人叙事承载起厚重的社会意义，引发了广泛的情感共鸣与社会思考，体现了主流媒体在挖掘时代正能量、引领社会新风尚方面的主动作为与专业能力。</w:t>
            </w:r>
          </w:p>
          <w:p w14:paraId="55C2605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 xml:space="preserve">                单位主要负责人签名：                   （盖单位公章）</w:t>
            </w:r>
          </w:p>
          <w:p w14:paraId="1CF6F4E6">
            <w:pPr>
              <w:keepNext w:val="0"/>
              <w:keepLines w:val="0"/>
              <w:pageBreakBefore w:val="0"/>
              <w:widowControl w:val="0"/>
              <w:kinsoku/>
              <w:wordWrap/>
              <w:overflowPunct/>
              <w:topLinePunct w:val="0"/>
              <w:autoSpaceDE/>
              <w:autoSpaceDN/>
              <w:bidi w:val="0"/>
              <w:adjustRightInd/>
              <w:snapToGrid/>
              <w:spacing w:line="360" w:lineRule="exact"/>
              <w:ind w:firstLine="6240" w:firstLineChars="3000"/>
              <w:jc w:val="both"/>
              <w:textAlignment w:val="auto"/>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2026年1月5日</w:t>
            </w:r>
          </w:p>
        </w:tc>
      </w:tr>
      <w:tr w14:paraId="3272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989" w:type="dxa"/>
            <w:gridSpan w:val="2"/>
            <w:tcBorders>
              <w:top w:val="single" w:color="auto" w:sz="4" w:space="0"/>
              <w:bottom w:val="single" w:color="auto" w:sz="4" w:space="0"/>
            </w:tcBorders>
            <w:vAlign w:val="center"/>
          </w:tcPr>
          <w:p w14:paraId="1B762B3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713" w:type="dxa"/>
            <w:gridSpan w:val="6"/>
            <w:tcBorders>
              <w:top w:val="single" w:color="auto" w:sz="4" w:space="0"/>
              <w:bottom w:val="single" w:color="auto" w:sz="4" w:space="0"/>
            </w:tcBorders>
            <w:vAlign w:val="center"/>
          </w:tcPr>
          <w:p w14:paraId="1F64E2A8">
            <w:pPr>
              <w:spacing w:line="300" w:lineRule="exact"/>
              <w:rPr>
                <w:rFonts w:hint="eastAsia" w:ascii="仿宋" w:hAnsi="仿宋" w:eastAsia="仿宋" w:cs="Times New Roman"/>
                <w:color w:val="000000"/>
                <w:sz w:val="32"/>
                <w:szCs w:val="21"/>
                <w:lang w:eastAsia="zh-CN"/>
              </w:rPr>
            </w:pPr>
            <w:r>
              <w:rPr>
                <w:rFonts w:hint="eastAsia" w:ascii="仿宋" w:hAnsi="仿宋" w:eastAsia="仿宋" w:cs="仿宋"/>
                <w:color w:val="000000"/>
                <w:sz w:val="21"/>
                <w:szCs w:val="21"/>
                <w:lang w:val="en-US" w:eastAsia="zh-CN"/>
              </w:rPr>
              <w:t>朱烈闯</w:t>
            </w:r>
          </w:p>
        </w:tc>
        <w:tc>
          <w:tcPr>
            <w:tcW w:w="1200" w:type="dxa"/>
            <w:gridSpan w:val="3"/>
            <w:tcBorders>
              <w:top w:val="single" w:color="auto" w:sz="4" w:space="0"/>
              <w:bottom w:val="single" w:color="auto" w:sz="4" w:space="0"/>
            </w:tcBorders>
            <w:vAlign w:val="center"/>
          </w:tcPr>
          <w:p w14:paraId="7C57FC4D">
            <w:pPr>
              <w:spacing w:line="300" w:lineRule="exact"/>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0"/>
            <w:tcBorders>
              <w:top w:val="single" w:color="auto" w:sz="4" w:space="0"/>
              <w:bottom w:val="single" w:color="auto" w:sz="4" w:space="0"/>
            </w:tcBorders>
            <w:vAlign w:val="center"/>
          </w:tcPr>
          <w:p w14:paraId="56771BCB">
            <w:pPr>
              <w:spacing w:line="300" w:lineRule="exact"/>
              <w:rPr>
                <w:rFonts w:hint="default" w:ascii="仿宋" w:hAnsi="仿宋" w:eastAsia="仿宋" w:cs="Times New Roman"/>
                <w:color w:val="000000"/>
                <w:szCs w:val="21"/>
                <w:lang w:val="en-US" w:eastAsia="zh-CN"/>
              </w:rPr>
            </w:pPr>
            <w:r>
              <w:rPr>
                <w:rFonts w:hint="eastAsia" w:ascii="仿宋" w:hAnsi="仿宋" w:eastAsia="仿宋" w:cs="仿宋"/>
                <w:color w:val="000000"/>
                <w:sz w:val="21"/>
                <w:szCs w:val="21"/>
                <w:lang w:val="en-US" w:eastAsia="zh-CN"/>
              </w:rPr>
              <w:t>18720006993</w:t>
            </w:r>
          </w:p>
        </w:tc>
      </w:tr>
    </w:tbl>
    <w:p w14:paraId="7DBA048C">
      <w:pPr>
        <w:spacing w:line="240" w:lineRule="auto"/>
        <w:rPr>
          <w:rFonts w:hint="eastAsia" w:ascii="仿宋" w:hAnsi="仿宋" w:eastAsia="仿宋"/>
          <w:lang w:eastAsia="zh-CN"/>
        </w:rPr>
      </w:pPr>
    </w:p>
    <w:p w14:paraId="769B46C4">
      <w:pPr>
        <w:spacing w:line="240" w:lineRule="auto"/>
        <w:rPr>
          <w:rFonts w:hint="eastAsia" w:ascii="仿宋" w:hAnsi="仿宋" w:eastAsia="仿宋"/>
          <w:lang w:eastAsia="zh-CN"/>
        </w:rPr>
      </w:pPr>
    </w:p>
    <w:p w14:paraId="1FCDC636">
      <w:pPr>
        <w:spacing w:line="240" w:lineRule="auto"/>
        <w:rPr>
          <w:rFonts w:hint="eastAsia" w:ascii="仿宋" w:hAnsi="仿宋" w:eastAsia="仿宋"/>
          <w:lang w:eastAsia="zh-CN"/>
        </w:rPr>
      </w:pPr>
    </w:p>
    <w:p w14:paraId="5D620F9A">
      <w:pPr>
        <w:spacing w:line="240" w:lineRule="auto"/>
        <w:rPr>
          <w:rFonts w:hint="eastAsia" w:ascii="仿宋" w:hAnsi="仿宋" w:eastAsia="仿宋"/>
          <w:lang w:eastAsia="zh-CN"/>
        </w:rPr>
      </w:pPr>
    </w:p>
    <w:p w14:paraId="468D9C02">
      <w:pPr>
        <w:spacing w:line="240" w:lineRule="auto"/>
        <w:rPr>
          <w:rFonts w:hint="eastAsia" w:ascii="仿宋" w:hAnsi="仿宋" w:eastAsia="仿宋"/>
          <w:lang w:eastAsia="zh-CN"/>
        </w:rPr>
      </w:pPr>
      <w:r>
        <w:rPr>
          <w:rFonts w:hint="eastAsia" w:ascii="仿宋" w:hAnsi="仿宋" w:eastAsia="仿宋"/>
          <w:lang w:eastAsia="zh-CN"/>
        </w:rPr>
        <w:drawing>
          <wp:inline distT="0" distB="0" distL="114300" distR="114300">
            <wp:extent cx="5275580" cy="3095625"/>
            <wp:effectExtent l="0" t="0" r="1270" b="9525"/>
            <wp:docPr id="1" name="图片 1" descr="生命正接力前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生命正接力前行"/>
                    <pic:cNvPicPr>
                      <a:picLocks noChangeAspect="1"/>
                    </pic:cNvPicPr>
                  </pic:nvPicPr>
                  <pic:blipFill>
                    <a:blip r:embed="rId4"/>
                    <a:stretch>
                      <a:fillRect/>
                    </a:stretch>
                  </pic:blipFill>
                  <pic:spPr>
                    <a:xfrm>
                      <a:off x="0" y="0"/>
                      <a:ext cx="5275580" cy="3095625"/>
                    </a:xfrm>
                    <a:prstGeom prst="rect">
                      <a:avLst/>
                    </a:prstGeom>
                  </pic:spPr>
                </pic:pic>
              </a:graphicData>
            </a:graphic>
          </wp:inline>
        </w:drawing>
      </w:r>
    </w:p>
    <w:p w14:paraId="6C78B699">
      <w:pPr>
        <w:spacing w:line="240" w:lineRule="auto"/>
        <w:rPr>
          <w:rFonts w:hint="eastAsia" w:ascii="仿宋" w:hAnsi="仿宋" w:eastAsia="仿宋"/>
          <w:lang w:eastAsia="zh-CN"/>
        </w:rPr>
      </w:pPr>
    </w:p>
    <w:p w14:paraId="020B32DF"/>
    <w:p w14:paraId="5A5A8A78"/>
    <w:p w14:paraId="3D1E5253"/>
    <w:p w14:paraId="42EAD086"/>
    <w:p w14:paraId="27D2C94E"/>
    <w:p w14:paraId="05DBC437"/>
    <w:p w14:paraId="7ABF70EE"/>
    <w:p w14:paraId="0976B28C"/>
    <w:p w14:paraId="411FD7BC"/>
    <w:p w14:paraId="5C7DD1D2"/>
    <w:p w14:paraId="5E59D483"/>
    <w:p w14:paraId="7F89E203"/>
    <w:p w14:paraId="5D95AC61"/>
    <w:p w14:paraId="2620A225"/>
    <w:p w14:paraId="72ABF2E3"/>
    <w:p w14:paraId="21B87EE3"/>
    <w:p w14:paraId="5E382EFE">
      <w:pPr>
        <w:keepNext w:val="0"/>
        <w:keepLines w:val="0"/>
        <w:pageBreakBefore w:val="0"/>
        <w:widowControl w:val="0"/>
        <w:kinsoku/>
        <w:wordWrap/>
        <w:overflowPunct/>
        <w:topLinePunct w:val="0"/>
        <w:autoSpaceDE/>
        <w:autoSpaceDN/>
        <w:bidi w:val="0"/>
        <w:adjustRightInd/>
        <w:snapToGrid/>
        <w:spacing w:line="560" w:lineRule="exact"/>
        <w:ind w:firstLine="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通讯</w:t>
      </w:r>
    </w:p>
    <w:p w14:paraId="53937B27">
      <w:pPr>
        <w:keepNext w:val="0"/>
        <w:keepLines w:val="0"/>
        <w:pageBreakBefore w:val="0"/>
        <w:widowControl w:val="0"/>
        <w:kinsoku/>
        <w:wordWrap/>
        <w:overflowPunct/>
        <w:topLinePunct w:val="0"/>
        <w:autoSpaceDE/>
        <w:autoSpaceDN/>
        <w:bidi w:val="0"/>
        <w:adjustRightInd/>
        <w:snapToGrid/>
        <w:spacing w:line="560" w:lineRule="exact"/>
        <w:ind w:firstLine="0"/>
        <w:jc w:val="both"/>
        <w:textAlignment w:val="auto"/>
        <w:rPr>
          <w:rFonts w:hint="eastAsia" w:ascii="仿宋" w:hAnsi="仿宋" w:eastAsia="仿宋" w:cs="仿宋"/>
          <w:b w:val="0"/>
          <w:bCs w:val="0"/>
          <w:sz w:val="28"/>
          <w:szCs w:val="28"/>
          <w:lang w:val="en-US" w:eastAsia="zh-CN"/>
        </w:rPr>
      </w:pPr>
      <w:bookmarkStart w:id="0" w:name="_GoBack"/>
      <w:bookmarkEnd w:id="0"/>
    </w:p>
    <w:p w14:paraId="6A647E02">
      <w:pPr>
        <w:keepNext w:val="0"/>
        <w:keepLines w:val="0"/>
        <w:pageBreakBefore w:val="0"/>
        <w:widowControl/>
        <w:kinsoku/>
        <w:wordWrap/>
        <w:overflowPunct/>
        <w:topLinePunct w:val="0"/>
        <w:autoSpaceDE/>
        <w:autoSpaceDN/>
        <w:bidi w:val="0"/>
        <w:adjustRightInd/>
        <w:snapToGrid/>
        <w:spacing w:before="205" w:beforeLines="50" w:after="205" w:afterLines="50" w:line="560" w:lineRule="exact"/>
        <w:ind w:firstLine="556" w:firstLineChars="200"/>
        <w:jc w:val="left"/>
        <w:textAlignment w:val="auto"/>
        <w:rPr>
          <w:rFonts w:hint="eastAsia" w:ascii="仿宋" w:hAnsi="仿宋" w:eastAsia="仿宋" w:cs="CESI仿宋-GB2312"/>
          <w:sz w:val="28"/>
          <w:szCs w:val="28"/>
        </w:rPr>
      </w:pPr>
      <w:r>
        <w:rPr>
          <w:rFonts w:hint="eastAsia" w:ascii="仿宋" w:hAnsi="仿宋" w:eastAsia="仿宋" w:cs="CESI仿宋-GB2312"/>
          <w:sz w:val="28"/>
          <w:szCs w:val="28"/>
        </w:rPr>
        <w:t>“也许未来某天走在路上或许能有特殊的感知，让我知道‘她’还在”——</w:t>
      </w:r>
    </w:p>
    <w:p w14:paraId="76466163">
      <w:pPr>
        <w:keepNext w:val="0"/>
        <w:keepLines w:val="0"/>
        <w:pageBreakBefore w:val="0"/>
        <w:widowControl/>
        <w:kinsoku/>
        <w:wordWrap/>
        <w:overflowPunct/>
        <w:topLinePunct w:val="0"/>
        <w:autoSpaceDE/>
        <w:autoSpaceDN/>
        <w:bidi w:val="0"/>
        <w:adjustRightInd/>
        <w:snapToGrid/>
        <w:spacing w:before="205" w:beforeLines="50" w:after="205" w:afterLines="50" w:line="560" w:lineRule="exact"/>
        <w:jc w:val="center"/>
        <w:textAlignment w:val="auto"/>
        <w:rPr>
          <w:rFonts w:hint="eastAsia" w:ascii="黑体" w:hAnsi="黑体" w:eastAsia="黑体" w:cs="华文细黑"/>
          <w:sz w:val="32"/>
          <w:szCs w:val="32"/>
        </w:rPr>
      </w:pPr>
      <w:r>
        <w:rPr>
          <w:rFonts w:hint="eastAsia" w:ascii="黑体" w:hAnsi="黑体" w:eastAsia="黑体" w:cs="华文细黑"/>
          <w:sz w:val="32"/>
          <w:szCs w:val="32"/>
        </w:rPr>
        <w:t>生命正“接力”前行</w:t>
      </w:r>
    </w:p>
    <w:p w14:paraId="597F4B3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sz w:val="24"/>
          <w:szCs w:val="24"/>
          <w:lang w:val="en-US" w:eastAsia="zh-CN"/>
        </w:rPr>
      </w:pPr>
      <w:r>
        <w:rPr>
          <w:rFonts w:hint="eastAsia" w:ascii="仿宋" w:hAnsi="仿宋" w:eastAsia="仿宋" w:cs="CESI仿宋-GB2312"/>
          <w:sz w:val="24"/>
          <w:szCs w:val="24"/>
          <w:lang w:val="en-US" w:eastAsia="zh-CN"/>
        </w:rPr>
        <w:t xml:space="preserve">作者：朱烈闯、徐欢   </w:t>
      </w:r>
    </w:p>
    <w:p w14:paraId="51CFBCA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szCs w:val="21"/>
          <w:lang w:val="en-US" w:eastAsia="zh-CN"/>
        </w:rPr>
      </w:pPr>
      <w:r>
        <w:rPr>
          <w:rFonts w:hint="eastAsia" w:ascii="仿宋" w:hAnsi="仿宋" w:eastAsia="仿宋" w:cs="CESI仿宋-GB2312"/>
          <w:sz w:val="24"/>
          <w:szCs w:val="24"/>
          <w:lang w:val="en-US" w:eastAsia="zh-CN"/>
        </w:rPr>
        <w:t>编辑：夏东华、邹志兵</w:t>
      </w:r>
    </w:p>
    <w:p w14:paraId="42855EE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szCs w:val="21"/>
          <w:lang w:val="en-US" w:eastAsia="zh-CN"/>
        </w:rPr>
      </w:pPr>
    </w:p>
    <w:p w14:paraId="18001421">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“向捐献者鞠躬、默哀。”</w:t>
      </w:r>
    </w:p>
    <w:p w14:paraId="740422B8">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10月28日16时，市人民医院手术室。无影灯下，医护人员将摘取叶子（化名）的有用器官用于移植手术，为其他患者带去新生活的</w:t>
      </w:r>
      <w:r>
        <w:rPr>
          <w:rFonts w:hint="eastAsia" w:ascii="仿宋" w:hAnsi="仿宋" w:eastAsia="仿宋" w:cs="CESI仿宋-GB2312"/>
          <w:sz w:val="28"/>
          <w:szCs w:val="28"/>
          <w:lang w:val="en-US" w:eastAsia="zh-CN"/>
        </w:rPr>
        <w:t xml:space="preserve"> </w:t>
      </w:r>
      <w:r>
        <w:rPr>
          <w:rFonts w:hint="eastAsia" w:ascii="仿宋" w:hAnsi="仿宋" w:eastAsia="仿宋" w:cs="CESI仿宋-GB2312"/>
          <w:sz w:val="28"/>
          <w:szCs w:val="28"/>
        </w:rPr>
        <w:t>希望。</w:t>
      </w:r>
    </w:p>
    <w:p w14:paraId="236D2448">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4天前的晚上，一场突如其来的车祸，将叶子的生命推向悬崖边缘，尽管医护人员在ICU里全力抢救了两天，却仍无奈地宣布了她脑死亡的结果。</w:t>
      </w:r>
    </w:p>
    <w:p w14:paraId="66926434">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“爸，进行器官捐献吧。”看着医生递来的诊断书，叶子的大儿子舍予（化名）颤抖地说。</w:t>
      </w:r>
    </w:p>
    <w:p w14:paraId="05F32E4D">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“不行！”父亲本能地抗拒，“你妈已经浑身是伤，你还要让她再遭一次罪吗？”</w:t>
      </w:r>
    </w:p>
    <w:p w14:paraId="2E99D4C9">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“爸，脑死亡已既成事实，妈是那么善良的人……就让妈的生命延续，也给我们留个念想吧。”</w:t>
      </w:r>
    </w:p>
    <w:p w14:paraId="228694AC">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“留个念想吧”，就是这么简单的一句话，重重敲击在叶子丈夫的心上，他陷入了长时间的沉默。最终，他选择让妻子以另一种方式接续“活着”。</w:t>
      </w:r>
    </w:p>
    <w:p w14:paraId="721D44C9">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舍予回忆道：“在《器官捐献同意书》上签字时，我爸手抖得厉害，眼里满是不舍。”舍予和父亲都知道，这一笔下去，就意味着真的要说再见了。</w:t>
      </w:r>
    </w:p>
    <w:p w14:paraId="23FFF0B5">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如今，叶子已离开家人一个月了，舍予每每想起签字的那一刻，仍阵阵心痛，但他没有后悔。“签完字后，我妈仍坚持了两天，等来了南昌的医护团队。我想这是她在用最后的意志支持我们的决定。”</w:t>
      </w:r>
    </w:p>
    <w:p w14:paraId="217D892B">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这两天，不仅是母亲意志的坚持，更是一场与时间赛跑的生命接力。上报信息、医学评估、器官分配、安排手术……一系列严格的技术规范后，几乎是在叶子推出手术室的同时，180公里外，南昌某医院的血透室里，一位等待了数年的尿毒症患者魁梧（化名）接到了主治医生的通知：“有肾源了，准备手术！”</w:t>
      </w:r>
    </w:p>
    <w:p w14:paraId="650B9E13">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器官活性是以小时为单位计算。市人民医院ICU主任桂晓龑解释：“为保证器官活性，心脏冷缺血时间不超过4小时，肝脏不超过6—8小时，肾脏不超过12—24小时。叶子每多坚持一分，移植的成功率与患者后续的生活质量就提高一分。”</w:t>
      </w:r>
    </w:p>
    <w:p w14:paraId="771A666E">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7小时后，魁梧被成功推出手术室，在术后第一次排尿时，他哭了。他说：“我没想到能等到这一天。我不知道她是谁，但我和我的家人这辈子都会怀着感恩的心记得她。”</w:t>
      </w:r>
    </w:p>
    <w:p w14:paraId="26EB6371">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如今，魁梧已经痊愈出院了。</w:t>
      </w:r>
    </w:p>
    <w:p w14:paraId="06C80EF9">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“也许未来某天走在路上或许能有特殊的感知，让我知道‘她’还在。”舍予说。</w:t>
      </w:r>
    </w:p>
    <w:p w14:paraId="54C93AD0">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对于器官衰竭病人，移植就是希望，器官即是生命。中国人体器官捐献管理中心公布数据显示，我国登记捐献人数虽超710万，但2024年中国每百万人口器官捐献率为4.78，而西班牙为53.93，美国为49.7，同为发展中国家的巴西也达到18.29。</w:t>
      </w:r>
    </w:p>
    <w:p w14:paraId="26B29BD3">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临床中，因供体短缺而抱憾离世的案例很多，面对家属期盼的目光，我们常感痛心和无奈。”桂晓龑告诉记者，“从世界平均水平看，肾脏移植成功患者延长生命长度中位数为12年，意味着超半数人能活过12年。而我国肾移植患者生存年数远超此数，最长生存期达35年。同时，随着我国医学技术的不断发展，5年存活率也大大提升，只是这一切都要基于有合适的器官匹配。”</w:t>
      </w:r>
    </w:p>
    <w:p w14:paraId="343C66D8">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据了解，叶子是我市今年第3例成功捐献的器官捐献者，也是全市累计第57例器官捐献者。这每一个数字背后，都是一场家人的离别，同时也为多个濒临绝望的家庭送去新生的曙光。</w:t>
      </w:r>
    </w:p>
    <w:p w14:paraId="2A45F5D4">
      <w:pPr>
        <w:keepNext w:val="0"/>
        <w:keepLines w:val="0"/>
        <w:pageBreakBefore w:val="0"/>
        <w:widowControl/>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sz w:val="28"/>
          <w:szCs w:val="28"/>
        </w:rPr>
      </w:pPr>
      <w:r>
        <w:rPr>
          <w:rFonts w:hint="eastAsia" w:ascii="仿宋" w:hAnsi="仿宋" w:eastAsia="仿宋" w:cs="CESI仿宋-GB2312"/>
          <w:sz w:val="28"/>
          <w:szCs w:val="28"/>
        </w:rPr>
        <w:t>市红十字会工作人员樊龙骏感慨道：“器官捐献不是终点，而是生命以另一种形式延续的开始。这种延续，超越了生理层面，是无私大爱的传递。我们为捐献者修建了纪念园，让他们能接受家人和社会的瞻仰。”</w:t>
      </w:r>
    </w:p>
    <w:p w14:paraId="44B22913">
      <w:pPr>
        <w:keepNext w:val="0"/>
        <w:keepLines w:val="0"/>
        <w:pageBreakBefore w:val="0"/>
        <w:kinsoku/>
        <w:wordWrap/>
        <w:overflowPunct/>
        <w:topLinePunct w:val="0"/>
        <w:autoSpaceDE/>
        <w:autoSpaceDN/>
        <w:bidi w:val="0"/>
        <w:adjustRightInd/>
        <w:snapToGrid/>
        <w:spacing w:line="560" w:lineRule="exact"/>
        <w:ind w:firstLine="556" w:firstLineChars="200"/>
        <w:textAlignment w:val="auto"/>
      </w:pPr>
      <w:r>
        <w:rPr>
          <w:rFonts w:hint="eastAsia" w:ascii="仿宋" w:hAnsi="仿宋" w:eastAsia="仿宋" w:cs="CESI仿宋-GB2312"/>
          <w:sz w:val="28"/>
          <w:szCs w:val="28"/>
        </w:rPr>
        <w:t>如今，叶子与其他56位捐献者一道长眠于这片纪念园，化作这片土地最温暖的注脚。他们以生命的最后仪式告诉世人：生命脆弱，一场意外可致终点；但也坚强，谢幕之际亦能点亮他人重生路。</w:t>
      </w:r>
    </w:p>
    <w:sectPr>
      <w:pgSz w:w="11906" w:h="16838"/>
      <w:pgMar w:top="1440" w:right="1797" w:bottom="1440" w:left="1797" w:header="851" w:footer="992" w:gutter="0"/>
      <w:cols w:space="0" w:num="1"/>
      <w:rtlGutter w:val="0"/>
      <w:docGrid w:type="linesAndChars" w:linePitch="410"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39"/>
  <w:drawingGridVerticalSpacing w:val="205"/>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5MTJiNThlZjQ3NzQxNWJmMjFkMTgzYjE0ZjEwMTUifQ=="/>
  </w:docVars>
  <w:rsids>
    <w:rsidRoot w:val="275E5D7A"/>
    <w:rsid w:val="06CE2800"/>
    <w:rsid w:val="27095487"/>
    <w:rsid w:val="275E5D7A"/>
    <w:rsid w:val="2DBDBC37"/>
    <w:rsid w:val="323C0F4E"/>
    <w:rsid w:val="519A433C"/>
    <w:rsid w:val="54D70AA7"/>
    <w:rsid w:val="5BEB6202"/>
    <w:rsid w:val="603A1B07"/>
    <w:rsid w:val="650A0B6F"/>
    <w:rsid w:val="72A844F1"/>
    <w:rsid w:val="7CFF5E61"/>
    <w:rsid w:val="F37797BF"/>
    <w:rsid w:val="F5DB5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8"/>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2169</Words>
  <Characters>2419</Characters>
  <Lines>0</Lines>
  <Paragraphs>0</Paragraphs>
  <TotalTime>1</TotalTime>
  <ScaleCrop>false</ScaleCrop>
  <LinksUpToDate>false</LinksUpToDate>
  <CharactersWithSpaces>2470</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2026-01-14T05:30:00Z</dcterms:created>
  <dc:creator>Violet</dc:creator>
  <cp:lastModifiedBy>牧风</cp:lastModifiedBy>
  <dcterms:modified xsi:type="dcterms:W3CDTF">2026-01-18T10:47:15Z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A337D99A46B24D72BC881B35AD910E9D_11</vt:lpwstr>
  </property>
  <property fmtid="{D5CDD505-2E9C-101B-9397-08002B2CF9AE}" pid="4" name="KSOTemplateDocerSaveRecord">
    <vt:lpwstr>eyJoZGlkIjoiMGQ1NzBhNzEzMzI3N2ZjOWU0YmEwZDk5NmZkMTkyYTMiLCJ1c2VySWQiOiIzMDc2NzE1OTcifQ==</vt:lpwstr>
  </property>
</Properties>
</file>