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4EE380">
      <w:pPr>
        <w:spacing w:afterLines="50" w:line="600" w:lineRule="exact"/>
        <w:jc w:val="center"/>
        <w:rPr>
          <w:rFonts w:ascii="华文中宋" w:hAnsi="华文中宋" w:eastAsia="华文中宋" w:cs="方正小标宋简体"/>
          <w:color w:val="000000"/>
          <w:sz w:val="36"/>
          <w:szCs w:val="36"/>
        </w:rPr>
      </w:pPr>
      <w:r>
        <w:rPr>
          <w:rFonts w:hint="eastAsia" w:ascii="华文中宋" w:hAnsi="华文中宋" w:eastAsia="华文中宋" w:cs="方正小标宋简体"/>
          <w:color w:val="000000"/>
          <w:sz w:val="36"/>
          <w:szCs w:val="36"/>
        </w:rPr>
        <w:t>参评作品推荐表</w:t>
      </w:r>
    </w:p>
    <w:tbl>
      <w:tblPr>
        <w:tblStyle w:val="4"/>
        <w:tblW w:w="8763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4"/>
        <w:gridCol w:w="256"/>
        <w:gridCol w:w="564"/>
        <w:gridCol w:w="79"/>
        <w:gridCol w:w="388"/>
        <w:gridCol w:w="373"/>
        <w:gridCol w:w="780"/>
        <w:gridCol w:w="281"/>
        <w:gridCol w:w="381"/>
        <w:gridCol w:w="500"/>
        <w:gridCol w:w="211"/>
        <w:gridCol w:w="432"/>
        <w:gridCol w:w="260"/>
        <w:gridCol w:w="383"/>
        <w:gridCol w:w="132"/>
        <w:gridCol w:w="777"/>
        <w:gridCol w:w="213"/>
        <w:gridCol w:w="228"/>
        <w:gridCol w:w="462"/>
        <w:gridCol w:w="763"/>
        <w:gridCol w:w="656"/>
      </w:tblGrid>
      <w:tr w14:paraId="22D087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exact"/>
        </w:trPr>
        <w:tc>
          <w:tcPr>
            <w:tcW w:w="1464" w:type="dxa"/>
            <w:gridSpan w:val="3"/>
            <w:vAlign w:val="center"/>
          </w:tcPr>
          <w:p w14:paraId="660953BC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作品标题</w:t>
            </w:r>
          </w:p>
        </w:tc>
        <w:tc>
          <w:tcPr>
            <w:tcW w:w="3425" w:type="dxa"/>
            <w:gridSpan w:val="9"/>
            <w:vAlign w:val="center"/>
          </w:tcPr>
          <w:p w14:paraId="437A7FD5">
            <w:pPr>
              <w:spacing w:line="300" w:lineRule="exact"/>
              <w:rPr>
                <w:rFonts w:ascii="仿宋" w:hAnsi="仿宋" w:eastAsia="仿宋"/>
                <w:szCs w:val="21"/>
              </w:rPr>
            </w:pPr>
            <w:r>
              <w:rPr>
                <w:rFonts w:hint="eastAsia" w:ascii="仿宋" w:hAnsi="仿宋" w:eastAsia="仿宋"/>
                <w:sz w:val="21"/>
                <w:szCs w:val="21"/>
              </w:rPr>
              <w:t>“群众在哪，我们的板车就拉到哪”</w:t>
            </w:r>
          </w:p>
        </w:tc>
        <w:tc>
          <w:tcPr>
            <w:tcW w:w="1765" w:type="dxa"/>
            <w:gridSpan w:val="5"/>
            <w:vAlign w:val="center"/>
          </w:tcPr>
          <w:p w14:paraId="04308565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参评项目</w:t>
            </w:r>
          </w:p>
          <w:p w14:paraId="2F711CDF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（刊发形式）</w:t>
            </w:r>
          </w:p>
        </w:tc>
        <w:tc>
          <w:tcPr>
            <w:tcW w:w="2109" w:type="dxa"/>
            <w:gridSpan w:val="4"/>
            <w:vAlign w:val="center"/>
          </w:tcPr>
          <w:p w14:paraId="0B1DDEBF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通讯（报纸）</w:t>
            </w:r>
          </w:p>
        </w:tc>
      </w:tr>
      <w:tr w14:paraId="5572FF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4" w:hRule="atLeast"/>
        </w:trPr>
        <w:tc>
          <w:tcPr>
            <w:tcW w:w="1464" w:type="dxa"/>
            <w:gridSpan w:val="3"/>
            <w:vAlign w:val="center"/>
          </w:tcPr>
          <w:p w14:paraId="28EFE1B2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4"/>
              </w:rPr>
              <w:t>字数</w:t>
            </w:r>
            <w:r>
              <w:rPr>
                <w:rFonts w:ascii="华文中宋" w:hAnsi="华文中宋" w:eastAsia="华文中宋"/>
                <w:color w:val="000000"/>
                <w:sz w:val="24"/>
              </w:rPr>
              <w:t>/</w:t>
            </w:r>
            <w:r>
              <w:rPr>
                <w:rFonts w:hint="eastAsia" w:ascii="华文中宋" w:hAnsi="华文中宋" w:eastAsia="华文中宋"/>
                <w:color w:val="000000"/>
                <w:sz w:val="24"/>
              </w:rPr>
              <w:t>时长</w:t>
            </w:r>
          </w:p>
        </w:tc>
        <w:tc>
          <w:tcPr>
            <w:tcW w:w="3425" w:type="dxa"/>
            <w:gridSpan w:val="9"/>
            <w:vAlign w:val="center"/>
          </w:tcPr>
          <w:p w14:paraId="37CA9775">
            <w:pPr>
              <w:spacing w:line="240" w:lineRule="exact"/>
              <w:rPr>
                <w:rFonts w:hint="eastAsia" w:ascii="仿宋" w:hAnsi="仿宋" w:eastAsia="仿宋"/>
                <w:color w:val="000000"/>
                <w:szCs w:val="21"/>
                <w:lang w:eastAsia="zh-CN"/>
              </w:rPr>
            </w:pPr>
            <w:r>
              <w:rPr>
                <w:rFonts w:ascii="仿宋" w:hAnsi="仿宋" w:eastAsia="仿宋" w:cs="仿宋"/>
                <w:color w:val="000000"/>
                <w:sz w:val="21"/>
                <w:szCs w:val="21"/>
              </w:rPr>
              <w:t>1216</w:t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  <w:lang w:eastAsia="zh-CN"/>
              </w:rPr>
              <w:t>字</w:t>
            </w:r>
          </w:p>
        </w:tc>
        <w:tc>
          <w:tcPr>
            <w:tcW w:w="775" w:type="dxa"/>
            <w:gridSpan w:val="3"/>
            <w:vAlign w:val="center"/>
          </w:tcPr>
          <w:p w14:paraId="1559DDEE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体裁</w:t>
            </w:r>
          </w:p>
        </w:tc>
        <w:tc>
          <w:tcPr>
            <w:tcW w:w="3099" w:type="dxa"/>
            <w:gridSpan w:val="6"/>
            <w:vAlign w:val="center"/>
          </w:tcPr>
          <w:p w14:paraId="4CA89737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  <w:bookmarkStart w:id="0" w:name="_GoBack"/>
            <w:bookmarkEnd w:id="0"/>
          </w:p>
        </w:tc>
      </w:tr>
      <w:tr w14:paraId="180F81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7" w:hRule="atLeast"/>
        </w:trPr>
        <w:tc>
          <w:tcPr>
            <w:tcW w:w="1464" w:type="dxa"/>
            <w:gridSpan w:val="3"/>
            <w:vAlign w:val="center"/>
          </w:tcPr>
          <w:p w14:paraId="514D5424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pacing w:val="-12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12"/>
                <w:sz w:val="28"/>
              </w:rPr>
              <w:t>作</w:t>
            </w:r>
            <w:r>
              <w:rPr>
                <w:rFonts w:ascii="华文中宋" w:hAnsi="华文中宋" w:eastAsia="华文中宋"/>
                <w:color w:val="000000"/>
                <w:spacing w:val="-12"/>
                <w:sz w:val="28"/>
              </w:rPr>
              <w:t xml:space="preserve">  </w:t>
            </w:r>
            <w:r>
              <w:rPr>
                <w:rFonts w:hint="eastAsia" w:ascii="华文中宋" w:hAnsi="华文中宋" w:eastAsia="华文中宋"/>
                <w:color w:val="000000"/>
                <w:spacing w:val="-12"/>
                <w:sz w:val="28"/>
              </w:rPr>
              <w:t>者</w:t>
            </w:r>
          </w:p>
          <w:p w14:paraId="3E6AC6AB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pacing w:val="-12"/>
                <w:sz w:val="24"/>
              </w:rPr>
            </w:pPr>
            <w:r>
              <w:rPr>
                <w:rFonts w:hint="eastAsia" w:ascii="华文中宋" w:hAnsi="华文中宋" w:eastAsia="华文中宋"/>
                <w:color w:val="000000"/>
                <w:spacing w:val="-12"/>
                <w:sz w:val="22"/>
              </w:rPr>
              <w:t>（主创人员）</w:t>
            </w:r>
          </w:p>
        </w:tc>
        <w:tc>
          <w:tcPr>
            <w:tcW w:w="3425" w:type="dxa"/>
            <w:gridSpan w:val="9"/>
            <w:vAlign w:val="center"/>
          </w:tcPr>
          <w:p w14:paraId="2F5CC816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hint="eastAsia" w:ascii="仿宋" w:hAnsi="仿宋" w:eastAsia="仿宋"/>
                <w:sz w:val="21"/>
                <w:szCs w:val="21"/>
              </w:rPr>
              <w:t>吕玉玺、熊君、周乐丰</w:t>
            </w:r>
          </w:p>
        </w:tc>
        <w:tc>
          <w:tcPr>
            <w:tcW w:w="643" w:type="dxa"/>
            <w:gridSpan w:val="2"/>
            <w:vAlign w:val="center"/>
          </w:tcPr>
          <w:p w14:paraId="37CDF424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编辑</w:t>
            </w:r>
          </w:p>
        </w:tc>
        <w:tc>
          <w:tcPr>
            <w:tcW w:w="3231" w:type="dxa"/>
            <w:gridSpan w:val="7"/>
            <w:vAlign w:val="center"/>
          </w:tcPr>
          <w:p w14:paraId="7531531C">
            <w:pPr>
              <w:spacing w:line="300" w:lineRule="exact"/>
              <w:rPr>
                <w:rFonts w:ascii="仿宋" w:hAnsi="仿宋" w:eastAsia="仿宋"/>
                <w:color w:val="000000"/>
                <w:w w:val="95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王晓明、冯晓丹</w:t>
            </w:r>
          </w:p>
        </w:tc>
      </w:tr>
      <w:tr w14:paraId="76B68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1" w:hRule="atLeast"/>
        </w:trPr>
        <w:tc>
          <w:tcPr>
            <w:tcW w:w="1464" w:type="dxa"/>
            <w:gridSpan w:val="3"/>
            <w:vAlign w:val="center"/>
          </w:tcPr>
          <w:p w14:paraId="1E9A6C31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原创单位</w:t>
            </w:r>
          </w:p>
        </w:tc>
        <w:tc>
          <w:tcPr>
            <w:tcW w:w="2282" w:type="dxa"/>
            <w:gridSpan w:val="6"/>
            <w:vAlign w:val="center"/>
          </w:tcPr>
          <w:p w14:paraId="6E7AC729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鹰潭市融媒体中心</w:t>
            </w:r>
          </w:p>
        </w:tc>
        <w:tc>
          <w:tcPr>
            <w:tcW w:w="1786" w:type="dxa"/>
            <w:gridSpan w:val="5"/>
            <w:vAlign w:val="center"/>
          </w:tcPr>
          <w:p w14:paraId="641D5AC8">
            <w:pPr>
              <w:spacing w:line="300" w:lineRule="exact"/>
              <w:rPr>
                <w:rFonts w:ascii="仿宋_GB2312" w:hAnsi="仿宋" w:eastAsia="仿宋_GB2312"/>
                <w:color w:val="000000"/>
                <w:sz w:val="18"/>
                <w:szCs w:val="18"/>
                <w:highlight w:val="green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发布端</w:t>
            </w:r>
            <w:r>
              <w:rPr>
                <w:rFonts w:ascii="华文中宋" w:hAnsi="华文中宋" w:eastAsia="华文中宋"/>
                <w:color w:val="000000"/>
                <w:sz w:val="28"/>
                <w:szCs w:val="28"/>
              </w:rPr>
              <w:t>/</w:t>
            </w: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账号</w:t>
            </w:r>
            <w:r>
              <w:rPr>
                <w:rFonts w:ascii="华文中宋" w:hAnsi="华文中宋" w:eastAsia="华文中宋"/>
                <w:color w:val="000000"/>
                <w:sz w:val="28"/>
                <w:szCs w:val="28"/>
              </w:rPr>
              <w:t>/</w:t>
            </w:r>
            <w:r>
              <w:rPr>
                <w:rFonts w:hint="eastAsia" w:ascii="华文中宋" w:hAnsi="华文中宋" w:eastAsia="华文中宋"/>
                <w:color w:val="000000"/>
                <w:sz w:val="28"/>
                <w:szCs w:val="28"/>
              </w:rPr>
              <w:t>媒体名称</w:t>
            </w:r>
          </w:p>
        </w:tc>
        <w:tc>
          <w:tcPr>
            <w:tcW w:w="3231" w:type="dxa"/>
            <w:gridSpan w:val="7"/>
            <w:vAlign w:val="center"/>
          </w:tcPr>
          <w:p w14:paraId="56A82B9E">
            <w:pPr>
              <w:spacing w:line="260" w:lineRule="exact"/>
              <w:rPr>
                <w:rFonts w:ascii="仿宋" w:hAnsi="仿宋" w:eastAsia="仿宋"/>
                <w:color w:val="000000"/>
                <w:szCs w:val="21"/>
                <w:highlight w:val="green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鹰潭日报</w:t>
            </w:r>
          </w:p>
        </w:tc>
      </w:tr>
      <w:tr w14:paraId="2AFFFF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9" w:hRule="exact"/>
        </w:trPr>
        <w:tc>
          <w:tcPr>
            <w:tcW w:w="2304" w:type="dxa"/>
            <w:gridSpan w:val="6"/>
            <w:vAlign w:val="center"/>
          </w:tcPr>
          <w:p w14:paraId="498193E6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刊播栏目或版面</w:t>
            </w:r>
          </w:p>
        </w:tc>
        <w:tc>
          <w:tcPr>
            <w:tcW w:w="3228" w:type="dxa"/>
            <w:gridSpan w:val="8"/>
            <w:vAlign w:val="center"/>
          </w:tcPr>
          <w:p w14:paraId="57390050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一版</w:t>
            </w:r>
          </w:p>
        </w:tc>
        <w:tc>
          <w:tcPr>
            <w:tcW w:w="1350" w:type="dxa"/>
            <w:gridSpan w:val="4"/>
            <w:vAlign w:val="center"/>
          </w:tcPr>
          <w:p w14:paraId="68574E84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刊播日期</w:t>
            </w:r>
          </w:p>
        </w:tc>
        <w:tc>
          <w:tcPr>
            <w:tcW w:w="1881" w:type="dxa"/>
            <w:gridSpan w:val="3"/>
            <w:vAlign w:val="center"/>
          </w:tcPr>
          <w:p w14:paraId="101A0FF7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2025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年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11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月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19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日</w:t>
            </w:r>
          </w:p>
        </w:tc>
      </w:tr>
      <w:tr w14:paraId="5AECDD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6" w:hRule="exact"/>
        </w:trPr>
        <w:tc>
          <w:tcPr>
            <w:tcW w:w="1464" w:type="dxa"/>
            <w:gridSpan w:val="3"/>
            <w:vAlign w:val="center"/>
          </w:tcPr>
          <w:p w14:paraId="0CB88928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新媒体作品网址</w:t>
            </w:r>
          </w:p>
        </w:tc>
        <w:tc>
          <w:tcPr>
            <w:tcW w:w="4068" w:type="dxa"/>
            <w:gridSpan w:val="11"/>
            <w:vAlign w:val="center"/>
          </w:tcPr>
          <w:p w14:paraId="37CA1465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</w:p>
        </w:tc>
        <w:tc>
          <w:tcPr>
            <w:tcW w:w="2575" w:type="dxa"/>
            <w:gridSpan w:val="6"/>
            <w:vAlign w:val="center"/>
          </w:tcPr>
          <w:p w14:paraId="2B50187A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是否为“三好作品”</w:t>
            </w:r>
          </w:p>
        </w:tc>
        <w:tc>
          <w:tcPr>
            <w:tcW w:w="656" w:type="dxa"/>
            <w:vAlign w:val="center"/>
          </w:tcPr>
          <w:p w14:paraId="5407C22F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</w:p>
        </w:tc>
      </w:tr>
      <w:tr w14:paraId="143F79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05" w:hRule="atLeast"/>
        </w:trPr>
        <w:tc>
          <w:tcPr>
            <w:tcW w:w="900" w:type="dxa"/>
            <w:gridSpan w:val="2"/>
            <w:vAlign w:val="center"/>
          </w:tcPr>
          <w:p w14:paraId="79359A46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ascii="华文中宋" w:hAnsi="华文中宋" w:eastAsia="华文中宋"/>
                <w:color w:val="000000"/>
                <w:sz w:val="28"/>
              </w:rPr>
              <w:t xml:space="preserve"> 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︵</w:t>
            </w:r>
          </w:p>
          <w:p w14:paraId="079F3B6A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作采</w:t>
            </w:r>
          </w:p>
          <w:p w14:paraId="02682A75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品编</w:t>
            </w:r>
          </w:p>
          <w:p w14:paraId="7D739C2A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简过</w:t>
            </w:r>
          </w:p>
          <w:p w14:paraId="4F97FAAA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介程</w:t>
            </w:r>
          </w:p>
          <w:p w14:paraId="54438392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ascii="华文中宋" w:hAnsi="华文中宋" w:eastAsia="华文中宋"/>
                <w:color w:val="000000"/>
                <w:sz w:val="28"/>
              </w:rPr>
              <w:t xml:space="preserve">  </w:t>
            </w: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︶</w:t>
            </w:r>
          </w:p>
        </w:tc>
        <w:tc>
          <w:tcPr>
            <w:tcW w:w="7863" w:type="dxa"/>
            <w:gridSpan w:val="19"/>
            <w:vAlign w:val="center"/>
          </w:tcPr>
          <w:p w14:paraId="00EA6EB8">
            <w:pPr>
              <w:spacing w:line="300" w:lineRule="exact"/>
              <w:ind w:firstLine="416" w:firstLineChars="200"/>
              <w:rPr>
                <w:rFonts w:ascii="仿宋" w:hAnsi="仿宋" w:eastAsia="仿宋"/>
                <w:color w:val="000000"/>
                <w:w w:val="95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本文聚焦全国基层理论宣讲先进个人吴光明创办的板车宣传团，记录其从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1990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年“一人一车送知识”起步，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35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年来坚守“群众在哪，板车就拉到哪”的宗旨，将木板车升级为“移动舞台”，把党的政策、创新理论转化为赣剧、快板、小品等接地气文艺形式，累计宣讲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900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余场，并带动村民从“台下看”变为“台上演”的生动实践，展现基层文化志愿服务扎根乡土的初心与坚守。</w:t>
            </w:r>
          </w:p>
        </w:tc>
      </w:tr>
      <w:tr w14:paraId="29213C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72" w:hRule="exact"/>
        </w:trPr>
        <w:tc>
          <w:tcPr>
            <w:tcW w:w="900" w:type="dxa"/>
            <w:gridSpan w:val="2"/>
            <w:vAlign w:val="center"/>
          </w:tcPr>
          <w:p w14:paraId="0916ED0B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社</w:t>
            </w:r>
          </w:p>
          <w:p w14:paraId="0DF5D527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会</w:t>
            </w:r>
          </w:p>
          <w:p w14:paraId="46C576B9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效</w:t>
            </w:r>
          </w:p>
          <w:p w14:paraId="1218864E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果</w:t>
            </w:r>
          </w:p>
        </w:tc>
        <w:tc>
          <w:tcPr>
            <w:tcW w:w="7863" w:type="dxa"/>
            <w:gridSpan w:val="19"/>
            <w:vAlign w:val="center"/>
          </w:tcPr>
          <w:p w14:paraId="11DC5A95">
            <w:pPr>
              <w:spacing w:line="300" w:lineRule="exact"/>
              <w:ind w:firstLine="416" w:firstLineChars="200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1.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理论传播更高效：以群众喜闻乐见的形式解读政策理论，让党的声音精准传递到田间地头，覆盖千家万户，提升了基层理论宣传的穿透力与实效性。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2.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文化生活更丰富：不仅为乡村带来常态化文艺演出，更培育了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150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余名文艺骨干、助力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32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个村组建宣传队，丰富了村民精神文化生活，激活乡村文化活力。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3.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干群关系更紧密：搭建起政府与百姓沟通的桥梁，既收集民情民意，又传递惠民政策，有效拉近干群距离，凝聚起乡村振兴的群众力量。</w:t>
            </w:r>
          </w:p>
        </w:tc>
      </w:tr>
      <w:tr w14:paraId="32E81B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3" w:hRule="exact"/>
        </w:trPr>
        <w:tc>
          <w:tcPr>
            <w:tcW w:w="644" w:type="dxa"/>
            <w:vMerge w:val="restart"/>
            <w:vAlign w:val="center"/>
          </w:tcPr>
          <w:p w14:paraId="65A01BA5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传</w:t>
            </w:r>
          </w:p>
          <w:p w14:paraId="77063464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播</w:t>
            </w:r>
          </w:p>
          <w:p w14:paraId="560007C4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数</w:t>
            </w:r>
          </w:p>
          <w:p w14:paraId="47827E51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据</w:t>
            </w:r>
          </w:p>
        </w:tc>
        <w:tc>
          <w:tcPr>
            <w:tcW w:w="899" w:type="dxa"/>
            <w:gridSpan w:val="3"/>
            <w:vMerge w:val="restart"/>
            <w:vAlign w:val="center"/>
          </w:tcPr>
          <w:p w14:paraId="6F0F2F86">
            <w:pPr>
              <w:spacing w:line="300" w:lineRule="exact"/>
              <w:jc w:val="center"/>
              <w:rPr>
                <w:rFonts w:ascii="仿宋" w:hAnsi="仿宋" w:eastAsia="仿宋" w:cs="仿宋"/>
                <w:color w:val="000000"/>
                <w:spacing w:val="-1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pacing w:val="-10"/>
                <w:sz w:val="21"/>
                <w:szCs w:val="21"/>
              </w:rPr>
              <w:t>新媒体传播</w:t>
            </w: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平台网址</w:t>
            </w:r>
          </w:p>
        </w:tc>
        <w:tc>
          <w:tcPr>
            <w:tcW w:w="388" w:type="dxa"/>
            <w:vAlign w:val="center"/>
          </w:tcPr>
          <w:p w14:paraId="50B6FE87">
            <w:pPr>
              <w:spacing w:line="300" w:lineRule="exact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 w:cs="仿宋"/>
                <w:color w:val="000000"/>
                <w:sz w:val="21"/>
                <w:szCs w:val="21"/>
              </w:rPr>
              <w:t>1</w:t>
            </w:r>
          </w:p>
        </w:tc>
        <w:tc>
          <w:tcPr>
            <w:tcW w:w="6832" w:type="dxa"/>
            <w:gridSpan w:val="16"/>
            <w:vAlign w:val="center"/>
          </w:tcPr>
          <w:p w14:paraId="22E34CA0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</w:p>
        </w:tc>
      </w:tr>
      <w:tr w14:paraId="5E5CCB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7" w:hRule="atLeast"/>
        </w:trPr>
        <w:tc>
          <w:tcPr>
            <w:tcW w:w="644" w:type="dxa"/>
            <w:vMerge w:val="continue"/>
            <w:vAlign w:val="center"/>
          </w:tcPr>
          <w:p w14:paraId="3E7AEDCC">
            <w:pPr>
              <w:widowControl/>
              <w:spacing w:line="300" w:lineRule="exact"/>
              <w:jc w:val="left"/>
              <w:rPr>
                <w:rFonts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899" w:type="dxa"/>
            <w:gridSpan w:val="3"/>
            <w:vMerge w:val="continue"/>
            <w:vAlign w:val="center"/>
          </w:tcPr>
          <w:p w14:paraId="3C3C146B">
            <w:pPr>
              <w:widowControl/>
              <w:spacing w:line="300" w:lineRule="exact"/>
              <w:jc w:val="left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</w:p>
        </w:tc>
        <w:tc>
          <w:tcPr>
            <w:tcW w:w="388" w:type="dxa"/>
            <w:vAlign w:val="center"/>
          </w:tcPr>
          <w:p w14:paraId="3CE4AA0D">
            <w:pPr>
              <w:spacing w:line="300" w:lineRule="exact"/>
              <w:rPr>
                <w:rFonts w:hint="eastAsia" w:ascii="仿宋" w:hAnsi="仿宋" w:eastAsia="仿宋" w:cs="仿宋"/>
                <w:color w:val="000000"/>
                <w:sz w:val="21"/>
                <w:szCs w:val="21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  <w:lang w:val="en-US" w:eastAsia="zh-CN"/>
              </w:rPr>
              <w:t>2</w:t>
            </w:r>
          </w:p>
        </w:tc>
        <w:tc>
          <w:tcPr>
            <w:tcW w:w="6832" w:type="dxa"/>
            <w:gridSpan w:val="16"/>
            <w:vAlign w:val="center"/>
          </w:tcPr>
          <w:p w14:paraId="1DB9AB06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</w:p>
        </w:tc>
      </w:tr>
      <w:tr w14:paraId="48F210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7" w:hRule="atLeast"/>
        </w:trPr>
        <w:tc>
          <w:tcPr>
            <w:tcW w:w="644" w:type="dxa"/>
            <w:vMerge w:val="continue"/>
            <w:vAlign w:val="center"/>
          </w:tcPr>
          <w:p w14:paraId="0E9F61BB">
            <w:pPr>
              <w:widowControl/>
              <w:spacing w:line="300" w:lineRule="exact"/>
              <w:jc w:val="left"/>
              <w:rPr>
                <w:rFonts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899" w:type="dxa"/>
            <w:gridSpan w:val="3"/>
            <w:vMerge w:val="continue"/>
            <w:vAlign w:val="center"/>
          </w:tcPr>
          <w:p w14:paraId="392ADDF9">
            <w:pPr>
              <w:widowControl/>
              <w:spacing w:line="300" w:lineRule="exact"/>
              <w:jc w:val="left"/>
              <w:rPr>
                <w:rFonts w:ascii="仿宋" w:hAnsi="仿宋" w:eastAsia="仿宋" w:cs="仿宋"/>
                <w:color w:val="000000"/>
                <w:sz w:val="21"/>
                <w:szCs w:val="21"/>
              </w:rPr>
            </w:pPr>
          </w:p>
        </w:tc>
        <w:tc>
          <w:tcPr>
            <w:tcW w:w="388" w:type="dxa"/>
            <w:vAlign w:val="center"/>
          </w:tcPr>
          <w:p w14:paraId="59EB8363">
            <w:pPr>
              <w:spacing w:line="300" w:lineRule="exact"/>
              <w:rPr>
                <w:rFonts w:hint="eastAsia" w:ascii="仿宋" w:hAnsi="仿宋" w:eastAsia="仿宋" w:cs="仿宋"/>
                <w:color w:val="000000"/>
                <w:sz w:val="21"/>
                <w:szCs w:val="21"/>
                <w:lang w:eastAsia="zh-CN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  <w:lang w:val="en-US" w:eastAsia="zh-CN"/>
              </w:rPr>
              <w:t>3</w:t>
            </w:r>
          </w:p>
        </w:tc>
        <w:tc>
          <w:tcPr>
            <w:tcW w:w="6832" w:type="dxa"/>
            <w:gridSpan w:val="16"/>
            <w:vAlign w:val="center"/>
          </w:tcPr>
          <w:p w14:paraId="34ABEF8F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 xml:space="preserve">    </w:t>
            </w:r>
          </w:p>
        </w:tc>
      </w:tr>
      <w:tr w14:paraId="368FA2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9" w:hRule="exact"/>
        </w:trPr>
        <w:tc>
          <w:tcPr>
            <w:tcW w:w="644" w:type="dxa"/>
            <w:vMerge w:val="continue"/>
            <w:vAlign w:val="center"/>
          </w:tcPr>
          <w:p w14:paraId="47E097BC">
            <w:pPr>
              <w:widowControl/>
              <w:spacing w:line="300" w:lineRule="exact"/>
              <w:jc w:val="left"/>
              <w:rPr>
                <w:rFonts w:ascii="华文中宋" w:hAnsi="华文中宋" w:eastAsia="华文中宋"/>
                <w:color w:val="000000"/>
                <w:sz w:val="28"/>
              </w:rPr>
            </w:pPr>
          </w:p>
        </w:tc>
        <w:tc>
          <w:tcPr>
            <w:tcW w:w="2440" w:type="dxa"/>
            <w:gridSpan w:val="6"/>
            <w:vAlign w:val="center"/>
          </w:tcPr>
          <w:p w14:paraId="5CBC019F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阅读量（浏览量、点击量）</w:t>
            </w:r>
          </w:p>
        </w:tc>
        <w:tc>
          <w:tcPr>
            <w:tcW w:w="1162" w:type="dxa"/>
            <w:gridSpan w:val="3"/>
            <w:vAlign w:val="center"/>
          </w:tcPr>
          <w:p w14:paraId="66B4DF89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14:paraId="45977560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转载量</w:t>
            </w:r>
          </w:p>
        </w:tc>
        <w:tc>
          <w:tcPr>
            <w:tcW w:w="1292" w:type="dxa"/>
            <w:gridSpan w:val="3"/>
            <w:vAlign w:val="center"/>
          </w:tcPr>
          <w:p w14:paraId="41E1F495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14:paraId="2A5CD729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 w:cs="仿宋"/>
                <w:color w:val="000000"/>
                <w:sz w:val="21"/>
                <w:szCs w:val="21"/>
              </w:rPr>
              <w:t>互动量</w:t>
            </w:r>
          </w:p>
        </w:tc>
        <w:tc>
          <w:tcPr>
            <w:tcW w:w="1419" w:type="dxa"/>
            <w:gridSpan w:val="2"/>
            <w:vAlign w:val="center"/>
          </w:tcPr>
          <w:p w14:paraId="2B19E137">
            <w:pPr>
              <w:spacing w:line="300" w:lineRule="exact"/>
              <w:rPr>
                <w:rFonts w:ascii="仿宋" w:hAnsi="仿宋" w:eastAsia="仿宋"/>
                <w:color w:val="000000"/>
                <w:sz w:val="21"/>
                <w:szCs w:val="21"/>
              </w:rPr>
            </w:pPr>
          </w:p>
        </w:tc>
      </w:tr>
      <w:tr w14:paraId="6B12F7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5" w:hRule="exact"/>
        </w:trPr>
        <w:tc>
          <w:tcPr>
            <w:tcW w:w="1464" w:type="dxa"/>
            <w:gridSpan w:val="3"/>
            <w:vAlign w:val="center"/>
          </w:tcPr>
          <w:p w14:paraId="192E69C9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推荐理由</w:t>
            </w:r>
          </w:p>
        </w:tc>
        <w:tc>
          <w:tcPr>
            <w:tcW w:w="7299" w:type="dxa"/>
            <w:gridSpan w:val="18"/>
            <w:vAlign w:val="center"/>
          </w:tcPr>
          <w:p w14:paraId="668DF0DF">
            <w:pPr>
              <w:spacing w:line="300" w:lineRule="exact"/>
              <w:ind w:firstLine="520" w:firstLineChars="250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该作品题材鲜活接地气，聚焦基层文化志愿服务典型，以“板车”这一具象载体串联</w:t>
            </w: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35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年坚守，故事真实可感，充满乡土烟火气，易引发群众共鸣。生动诠释了“以人民为中心”的发展思想，展现了基层工作者“贴着泥土讲理论”的初心，为基层理论宣传和文化建设提供了可借鉴的样本，兼具新闻价值与社会意义。</w:t>
            </w:r>
          </w:p>
          <w:p w14:paraId="063089C6">
            <w:pPr>
              <w:spacing w:line="300" w:lineRule="exact"/>
              <w:ind w:firstLine="520" w:firstLineChars="250"/>
              <w:rPr>
                <w:rFonts w:hint="eastAsia" w:ascii="仿宋" w:hAnsi="仿宋" w:eastAsia="仿宋"/>
                <w:color w:val="000000"/>
                <w:sz w:val="21"/>
                <w:szCs w:val="21"/>
              </w:rPr>
            </w:pPr>
          </w:p>
          <w:p w14:paraId="329C047C">
            <w:pPr>
              <w:spacing w:line="300" w:lineRule="exact"/>
              <w:ind w:firstLine="1632" w:firstLineChars="800"/>
              <w:rPr>
                <w:rFonts w:ascii="仿宋" w:hAnsi="仿宋" w:eastAsia="仿宋"/>
                <w:color w:val="000000"/>
                <w:sz w:val="21"/>
                <w:szCs w:val="21"/>
              </w:rPr>
            </w:pPr>
            <w:r>
              <w:rPr>
                <w:rFonts w:ascii="仿宋" w:hAnsi="仿宋" w:eastAsia="仿宋"/>
                <w:color w:val="000000"/>
                <w:spacing w:val="-2"/>
                <w:sz w:val="21"/>
                <w:szCs w:val="21"/>
              </w:rPr>
              <w:t xml:space="preserve">    </w:t>
            </w:r>
            <w:r>
              <w:rPr>
                <w:rFonts w:hint="eastAsia" w:ascii="仿宋" w:hAnsi="仿宋" w:eastAsia="仿宋"/>
                <w:color w:val="000000"/>
                <w:spacing w:val="-2"/>
                <w:sz w:val="21"/>
                <w:szCs w:val="21"/>
              </w:rPr>
              <w:t>单位主要负责人签名：</w:t>
            </w:r>
            <w:r>
              <w:rPr>
                <w:rFonts w:hint="eastAsia" w:ascii="仿宋" w:hAnsi="仿宋" w:eastAsia="仿宋"/>
                <w:color w:val="000000"/>
                <w:spacing w:val="-2"/>
                <w:sz w:val="21"/>
                <w:szCs w:val="21"/>
                <w:lang w:val="en-US" w:eastAsia="zh-CN"/>
              </w:rPr>
              <w:t xml:space="preserve">            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（盖单位公章）</w:t>
            </w:r>
          </w:p>
          <w:p w14:paraId="2E60794C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ascii="仿宋" w:hAnsi="仿宋" w:eastAsia="仿宋"/>
                <w:color w:val="000000"/>
                <w:szCs w:val="21"/>
              </w:rPr>
              <w:t xml:space="preserve">                                      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2026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年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1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月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  <w:lang w:val="en-US" w:eastAsia="zh-CN"/>
              </w:rPr>
              <w:t>5</w:t>
            </w: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日</w:t>
            </w:r>
          </w:p>
        </w:tc>
      </w:tr>
      <w:tr w14:paraId="64E03F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3" w:hRule="exact"/>
        </w:trPr>
        <w:tc>
          <w:tcPr>
            <w:tcW w:w="900" w:type="dxa"/>
            <w:gridSpan w:val="2"/>
            <w:vAlign w:val="center"/>
          </w:tcPr>
          <w:p w14:paraId="362C79EB">
            <w:pPr>
              <w:spacing w:line="300" w:lineRule="exact"/>
              <w:jc w:val="center"/>
              <w:rPr>
                <w:rFonts w:ascii="华文中宋" w:hAnsi="华文中宋" w:eastAsia="华文中宋"/>
                <w:color w:val="000000"/>
                <w:sz w:val="28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作者</w:t>
            </w:r>
          </w:p>
        </w:tc>
        <w:tc>
          <w:tcPr>
            <w:tcW w:w="2465" w:type="dxa"/>
            <w:gridSpan w:val="6"/>
            <w:vAlign w:val="center"/>
          </w:tcPr>
          <w:p w14:paraId="624C2C15">
            <w:pPr>
              <w:spacing w:line="300" w:lineRule="exact"/>
              <w:rPr>
                <w:rFonts w:ascii="仿宋" w:hAnsi="仿宋" w:eastAsia="仿宋"/>
                <w:color w:val="000000"/>
                <w:sz w:val="32"/>
                <w:szCs w:val="21"/>
              </w:rPr>
            </w:pPr>
            <w:r>
              <w:rPr>
                <w:rFonts w:hint="eastAsia" w:ascii="仿宋" w:hAnsi="仿宋" w:eastAsia="仿宋"/>
                <w:color w:val="000000"/>
                <w:sz w:val="21"/>
                <w:szCs w:val="21"/>
              </w:rPr>
              <w:t>周乐丰</w:t>
            </w:r>
          </w:p>
        </w:tc>
        <w:tc>
          <w:tcPr>
            <w:tcW w:w="1092" w:type="dxa"/>
            <w:gridSpan w:val="3"/>
            <w:vAlign w:val="center"/>
          </w:tcPr>
          <w:p w14:paraId="3376D9C8">
            <w:pPr>
              <w:spacing w:line="300" w:lineRule="exact"/>
              <w:rPr>
                <w:rFonts w:ascii="仿宋" w:hAnsi="仿宋" w:eastAsia="仿宋"/>
                <w:color w:val="000000"/>
                <w:sz w:val="32"/>
                <w:szCs w:val="21"/>
              </w:rPr>
            </w:pPr>
            <w:r>
              <w:rPr>
                <w:rFonts w:hint="eastAsia" w:ascii="华文中宋" w:hAnsi="华文中宋" w:eastAsia="华文中宋"/>
                <w:color w:val="000000"/>
                <w:sz w:val="28"/>
              </w:rPr>
              <w:t>手机</w:t>
            </w:r>
          </w:p>
        </w:tc>
        <w:tc>
          <w:tcPr>
            <w:tcW w:w="4306" w:type="dxa"/>
            <w:gridSpan w:val="10"/>
            <w:vAlign w:val="center"/>
          </w:tcPr>
          <w:p w14:paraId="7C166880">
            <w:pPr>
              <w:spacing w:line="300" w:lineRule="exact"/>
              <w:rPr>
                <w:rFonts w:ascii="仿宋" w:hAnsi="仿宋" w:eastAsia="仿宋"/>
                <w:color w:val="000000"/>
                <w:szCs w:val="21"/>
              </w:rPr>
            </w:pPr>
            <w:r>
              <w:rPr>
                <w:rFonts w:ascii="仿宋" w:hAnsi="仿宋" w:eastAsia="仿宋"/>
                <w:color w:val="000000"/>
                <w:sz w:val="21"/>
                <w:szCs w:val="21"/>
              </w:rPr>
              <w:t>18170167008</w:t>
            </w:r>
          </w:p>
        </w:tc>
      </w:tr>
    </w:tbl>
    <w:p w14:paraId="774A0575">
      <w:pPr>
        <w:ind w:firstLine="570"/>
        <w:jc w:val="center"/>
        <w:rPr>
          <w:rFonts w:ascii="宋体" w:eastAsia="宋体"/>
          <w:b/>
          <w:sz w:val="32"/>
          <w:szCs w:val="32"/>
        </w:rPr>
      </w:pPr>
      <w:r>
        <w:pict>
          <v:shape id="_x0000_i1025" o:spt="75" type="#_x0000_t75" style="height:657.75pt;width:391.5pt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  <w10:wrap type="none"/>
            <w10:anchorlock/>
          </v:shape>
        </w:pict>
      </w:r>
    </w:p>
    <w:p w14:paraId="33926D76">
      <w:pPr>
        <w:ind w:firstLine="570"/>
        <w:jc w:val="center"/>
        <w:rPr>
          <w:rFonts w:ascii="宋体" w:eastAsia="宋体"/>
          <w:b/>
          <w:sz w:val="32"/>
          <w:szCs w:val="32"/>
        </w:rPr>
      </w:pPr>
    </w:p>
    <w:p w14:paraId="3282315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" w:hAnsi="仿宋" w:eastAsia="仿宋" w:cs="仿宋"/>
          <w:b w:val="0"/>
          <w:bCs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/>
          <w:sz w:val="28"/>
          <w:szCs w:val="28"/>
          <w:lang w:val="en-US" w:eastAsia="zh-CN"/>
        </w:rPr>
        <w:t>通讯</w:t>
      </w:r>
    </w:p>
    <w:p w14:paraId="4A2154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70"/>
        <w:jc w:val="center"/>
        <w:textAlignment w:val="auto"/>
        <w:rPr>
          <w:rFonts w:hint="eastAsia" w:ascii="黑体" w:hAnsi="黑体" w:eastAsia="黑体" w:cs="黑体"/>
          <w:b w:val="0"/>
          <w:bCs/>
          <w:sz w:val="32"/>
          <w:szCs w:val="32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</w:rPr>
        <w:t>“群众在哪，我们的板车就拉到哪”</w:t>
      </w:r>
    </w:p>
    <w:p w14:paraId="2A08360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作者：</w:t>
      </w:r>
      <w:r>
        <w:rPr>
          <w:rFonts w:hint="eastAsia" w:ascii="仿宋" w:hAnsi="仿宋" w:eastAsia="仿宋" w:cs="仿宋"/>
          <w:sz w:val="24"/>
          <w:szCs w:val="24"/>
        </w:rPr>
        <w:t>吕玉玺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、</w:t>
      </w:r>
      <w:r>
        <w:rPr>
          <w:rFonts w:hint="eastAsia" w:ascii="仿宋" w:hAnsi="仿宋" w:eastAsia="仿宋" w:cs="仿宋"/>
          <w:sz w:val="24"/>
          <w:szCs w:val="24"/>
        </w:rPr>
        <w:t>熊君</w:t>
      </w:r>
      <w:r>
        <w:rPr>
          <w:rFonts w:hint="eastAsia" w:ascii="仿宋" w:hAnsi="仿宋" w:eastAsia="仿宋" w:cs="仿宋"/>
          <w:sz w:val="24"/>
          <w:szCs w:val="24"/>
          <w:lang w:eastAsia="zh-CN"/>
        </w:rPr>
        <w:t>、</w:t>
      </w:r>
      <w:r>
        <w:rPr>
          <w:rFonts w:hint="eastAsia" w:ascii="仿宋" w:hAnsi="仿宋" w:eastAsia="仿宋" w:cs="仿宋"/>
          <w:sz w:val="24"/>
          <w:szCs w:val="24"/>
        </w:rPr>
        <w:t>周乐丰</w:t>
      </w:r>
    </w:p>
    <w:p w14:paraId="2818D5F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仿宋" w:hAnsi="仿宋" w:eastAsia="仿宋" w:cs="仿宋"/>
          <w:sz w:val="24"/>
          <w:szCs w:val="24"/>
          <w:lang w:val="en-US" w:eastAsia="zh-CN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编辑：王晓明、冯晓丹</w:t>
      </w:r>
    </w:p>
    <w:p w14:paraId="75D3AB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仿宋_GBK" w:hAnsi="方正仿宋_GBK" w:eastAsia="方正仿宋_GBK" w:cs="方正仿宋_GBK"/>
          <w:sz w:val="24"/>
          <w:szCs w:val="24"/>
          <w:lang w:val="en-US" w:eastAsia="zh-CN"/>
        </w:rPr>
      </w:pPr>
    </w:p>
    <w:p w14:paraId="00378F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7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咚锵咚锵——”11月6日，锣鼓声打破了鹰潭市余江区潢溪镇渡口村午后的宁静，村文化中心广场上，村民们或坐或站期待着即将开始的文艺演出。</w:t>
      </w:r>
    </w:p>
    <w:p w14:paraId="18A546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7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“竹板一打震天响，我把四中全会来宣讲……”说话间，板车宣讲团的演员们已站到了舞台中央，快板一打，清脆的节奏里混着乡音，让台下的观众倍感亲切，有人跟着节奏点头，有人掏出手机录像，连趴在大人肩头的孩童都跟着拍手。这就是余江区春涛镇板车宣讲团的宣讲日常。</w:t>
      </w:r>
    </w:p>
    <w:p w14:paraId="2C1BA9C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7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1990年，时任余江区春涛镇文化站站长的吴光明，一人拉着平板车，车斗里装着报纸和一摞摞科技图书，把党的政策、农业病虫害防治、蔬菜种植技术送到乡村，板车宣讲团因此而得名。如今，木板车换成了带轮子的“移动舞台”，车上的“家当”增加了锣鼓、戏服和手写的剧本，但那份“贴着泥土讲理论”的初心，却从未变过。</w:t>
      </w:r>
    </w:p>
    <w:p w14:paraId="21786B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7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“要让老百姓听得进，先得懂他们爱听啥。”板车宣讲团有本“民情笔记本”，记着各村的“文化口味”：蓝田村爱听赣剧，洋源夏家喜欢三句半，年轻人多的村子就编些接地气的小品……于是，乡村振兴的美好蓝图被写进快板词，共同富裕的深刻内涵被融进采茶戏，连医保政策、反诈知识都编进了小品里。“我们把党的方针政策、创新理论，自编自导成相声、小品、快板、舞蹈等节目进行表演，农民听得懂、看得明白。”吴光明说。为了让党的声音传递到基层、传遍千家万户，35年来，吴光明和他的板车宣讲团坚持走进乡村，累计宣讲900余场。</w:t>
      </w:r>
    </w:p>
    <w:p w14:paraId="6B680B5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7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从最初的“一个人、一辆车”，到如今60多人的“大家庭”，宣讲团里藏着不少“民间高手”：退休教师李大姐把党的创新理论写成诗朗诵；退伍军人王大哥用军歌调子改编政策宣传曲；连吴光明的妻子都成了台柱子，唱起传统小调来韵味十足。他们不光“送文化”，更在“种文化”——这些年培训了150多名乡村文艺骨干，帮32个村组建了自己的宣传队，举办各类文艺培训班50余期，培训1000余人，让村民从“台下看”变成“台上演”。春涛镇文化站里，常能见到村民来借剧本、学唱腔，闲时不知如何消遣的汉子，如今成了快板能手；围着灶台转的妇女，站上舞台唱起了新时代的歌谣。</w:t>
      </w:r>
    </w:p>
    <w:p w14:paraId="5CDB3A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7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“群众在哪，我们的板车就拉到哪。”这是板车宣讲团的宗旨。田间地头的树荫下，他们伴着蝉鸣讲惠农政策；晒谷场的路灯下，他们就着月光演身边故事。35载寒来暑往，板车宣讲团深深扎根农村沃土，以文化志愿服务为纽带，将党的创新理论、社会主义核心价值观融入群众耳熟能详的文艺表演中。</w:t>
      </w:r>
    </w:p>
    <w:p w14:paraId="2A2979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7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得益于此，吴光明和他的板车宣讲团有着广泛影响力和群众基础。渡口村村民陈金玲说：“这种宣讲接近老百姓，小品、赣剧我们看得懂，不仅丰富了群众的精神文化生活，也让大家在欢声笑语中接受教育，板车宣讲团的演出只要在乡里演，我场场不落、看不够。”</w:t>
      </w:r>
    </w:p>
    <w:p w14:paraId="42525D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70"/>
        <w:textAlignment w:val="auto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 xml:space="preserve">那些自编自演的赣剧小调、朗朗上口的快板和三句半，不仅逗得乡亲们笑得眉眼弯弯，更像一条条温暖的丝线，把政府与百姓的心紧紧连在一起——田间地头的宣讲台成了民情民意的“传声筒”，戏台子上的家常戏化作政策解读的“翻译器”。 </w:t>
      </w:r>
    </w:p>
    <w:sectPr>
      <w:pgSz w:w="11906" w:h="16838"/>
      <w:pgMar w:top="1440" w:right="1797" w:bottom="1440" w:left="1797" w:header="851" w:footer="992" w:gutter="0"/>
      <w:cols w:space="0" w:num="1"/>
      <w:rtlGutter w:val="0"/>
      <w:docGrid w:type="linesAndChars" w:linePitch="428" w:charSpace="-60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方正书宋_GBK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MathJax_Vector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altName w:val="DejaVu Sans"/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方正黑体_GBK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DejaVu Sans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MathJax_Vector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DejaVu Sans">
    <w:panose1 w:val="020B0603030804020204"/>
    <w:charset w:val="00"/>
    <w:family w:val="auto"/>
    <w:pitch w:val="default"/>
    <w:sig w:usb0="E7006EFF" w:usb1="D200FDFF" w:usb2="0A246029" w:usb3="0400200C" w:csb0="600001FF" w:csb1="DFFF0000"/>
  </w:font>
  <w:font w:name="Calibri">
    <w:altName w:val="DejaVu Sans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书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等线">
    <w:altName w:val="华文仿宋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中宋">
    <w:altName w:val="汉仪中宋简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汉仪中宋简">
    <w:panose1 w:val="02010600000101010101"/>
    <w:charset w:val="86"/>
    <w:family w:val="auto"/>
    <w:pitch w:val="default"/>
    <w:sig w:usb0="00000001" w:usb1="080E0800" w:usb2="00000002" w:usb3="00000000" w:csb0="00040000" w:csb1="0000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仿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39"/>
  <w:drawingGridVerticalSpacing w:val="214"/>
  <w:displayHorizontalDrawingGridEvery w:val="2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ZTg5MTJiNThlZjQ3NzQxNWJmMjFkMTgzYjE0ZjEwMTUifQ=="/>
  </w:docVars>
  <w:rsids>
    <w:rsidRoot w:val="00926BC2"/>
    <w:rsid w:val="00003DD9"/>
    <w:rsid w:val="00006792"/>
    <w:rsid w:val="00013217"/>
    <w:rsid w:val="00023B11"/>
    <w:rsid w:val="000305E6"/>
    <w:rsid w:val="00072F4C"/>
    <w:rsid w:val="00086302"/>
    <w:rsid w:val="00091AE1"/>
    <w:rsid w:val="000C36FB"/>
    <w:rsid w:val="000C3809"/>
    <w:rsid w:val="000C68FB"/>
    <w:rsid w:val="000C6F29"/>
    <w:rsid w:val="000D54DF"/>
    <w:rsid w:val="000E643B"/>
    <w:rsid w:val="00104C18"/>
    <w:rsid w:val="00114C5D"/>
    <w:rsid w:val="00123704"/>
    <w:rsid w:val="00133337"/>
    <w:rsid w:val="00133BCD"/>
    <w:rsid w:val="0014081E"/>
    <w:rsid w:val="001421C1"/>
    <w:rsid w:val="001440A6"/>
    <w:rsid w:val="00144DF0"/>
    <w:rsid w:val="0019242E"/>
    <w:rsid w:val="001D0E22"/>
    <w:rsid w:val="001F00D1"/>
    <w:rsid w:val="002001CC"/>
    <w:rsid w:val="00223BBC"/>
    <w:rsid w:val="0023032C"/>
    <w:rsid w:val="0024458D"/>
    <w:rsid w:val="002606C4"/>
    <w:rsid w:val="0026283A"/>
    <w:rsid w:val="00280C24"/>
    <w:rsid w:val="00292546"/>
    <w:rsid w:val="002D60A2"/>
    <w:rsid w:val="002E0AD9"/>
    <w:rsid w:val="00324336"/>
    <w:rsid w:val="003371B0"/>
    <w:rsid w:val="0034035D"/>
    <w:rsid w:val="00346993"/>
    <w:rsid w:val="00357C5B"/>
    <w:rsid w:val="00365323"/>
    <w:rsid w:val="00367921"/>
    <w:rsid w:val="00395F8B"/>
    <w:rsid w:val="003A26EC"/>
    <w:rsid w:val="003A7D88"/>
    <w:rsid w:val="003B19AA"/>
    <w:rsid w:val="003D25AF"/>
    <w:rsid w:val="00403B28"/>
    <w:rsid w:val="00412E9C"/>
    <w:rsid w:val="00433816"/>
    <w:rsid w:val="00441C13"/>
    <w:rsid w:val="004C1ED1"/>
    <w:rsid w:val="004C3515"/>
    <w:rsid w:val="004D6716"/>
    <w:rsid w:val="004F21DB"/>
    <w:rsid w:val="00517997"/>
    <w:rsid w:val="00534FCA"/>
    <w:rsid w:val="0054736E"/>
    <w:rsid w:val="0056711F"/>
    <w:rsid w:val="005937B0"/>
    <w:rsid w:val="005A5FEE"/>
    <w:rsid w:val="005D1989"/>
    <w:rsid w:val="005D49D3"/>
    <w:rsid w:val="005F7F4C"/>
    <w:rsid w:val="006244FD"/>
    <w:rsid w:val="0064022F"/>
    <w:rsid w:val="0064261E"/>
    <w:rsid w:val="006933E8"/>
    <w:rsid w:val="006B0AE1"/>
    <w:rsid w:val="007050B1"/>
    <w:rsid w:val="007073E0"/>
    <w:rsid w:val="0072455E"/>
    <w:rsid w:val="007409E6"/>
    <w:rsid w:val="0074332E"/>
    <w:rsid w:val="00764AAF"/>
    <w:rsid w:val="007731B5"/>
    <w:rsid w:val="00775798"/>
    <w:rsid w:val="0079161A"/>
    <w:rsid w:val="007C77C7"/>
    <w:rsid w:val="00822E65"/>
    <w:rsid w:val="00842395"/>
    <w:rsid w:val="008935AB"/>
    <w:rsid w:val="008B1001"/>
    <w:rsid w:val="008C03FE"/>
    <w:rsid w:val="00926BC2"/>
    <w:rsid w:val="00926E57"/>
    <w:rsid w:val="009367BD"/>
    <w:rsid w:val="009677C3"/>
    <w:rsid w:val="009A23C7"/>
    <w:rsid w:val="009B2278"/>
    <w:rsid w:val="009D6149"/>
    <w:rsid w:val="009E2FEC"/>
    <w:rsid w:val="009F3058"/>
    <w:rsid w:val="00A710FD"/>
    <w:rsid w:val="00A77914"/>
    <w:rsid w:val="00A91DA4"/>
    <w:rsid w:val="00AC1BA9"/>
    <w:rsid w:val="00AC522D"/>
    <w:rsid w:val="00AC5FC0"/>
    <w:rsid w:val="00AD7203"/>
    <w:rsid w:val="00AE6CEE"/>
    <w:rsid w:val="00AF5725"/>
    <w:rsid w:val="00B14262"/>
    <w:rsid w:val="00B168B6"/>
    <w:rsid w:val="00B30C0D"/>
    <w:rsid w:val="00BA131C"/>
    <w:rsid w:val="00BA3841"/>
    <w:rsid w:val="00BA51D5"/>
    <w:rsid w:val="00BA609F"/>
    <w:rsid w:val="00BB3A4F"/>
    <w:rsid w:val="00BB6173"/>
    <w:rsid w:val="00BD5D7F"/>
    <w:rsid w:val="00BD5E6F"/>
    <w:rsid w:val="00BE5B19"/>
    <w:rsid w:val="00C05584"/>
    <w:rsid w:val="00C220DE"/>
    <w:rsid w:val="00C55055"/>
    <w:rsid w:val="00C675AC"/>
    <w:rsid w:val="00C738E3"/>
    <w:rsid w:val="00C86CF1"/>
    <w:rsid w:val="00CA47C1"/>
    <w:rsid w:val="00CC2CD6"/>
    <w:rsid w:val="00CD6942"/>
    <w:rsid w:val="00D64361"/>
    <w:rsid w:val="00D67E4E"/>
    <w:rsid w:val="00D90026"/>
    <w:rsid w:val="00D978B7"/>
    <w:rsid w:val="00D97A32"/>
    <w:rsid w:val="00DA19CA"/>
    <w:rsid w:val="00DB7EB4"/>
    <w:rsid w:val="00E115C5"/>
    <w:rsid w:val="00E15627"/>
    <w:rsid w:val="00E2305B"/>
    <w:rsid w:val="00E42A72"/>
    <w:rsid w:val="00E807F5"/>
    <w:rsid w:val="00E82F0E"/>
    <w:rsid w:val="00E96EAD"/>
    <w:rsid w:val="00EA235C"/>
    <w:rsid w:val="00EA4751"/>
    <w:rsid w:val="00EA5207"/>
    <w:rsid w:val="00EB77C7"/>
    <w:rsid w:val="00EC1A77"/>
    <w:rsid w:val="00EE467F"/>
    <w:rsid w:val="00EF36AF"/>
    <w:rsid w:val="00F20F5E"/>
    <w:rsid w:val="00F23A0A"/>
    <w:rsid w:val="00F313C4"/>
    <w:rsid w:val="00F40F18"/>
    <w:rsid w:val="00F52080"/>
    <w:rsid w:val="00F52A99"/>
    <w:rsid w:val="00F537D4"/>
    <w:rsid w:val="00F542F7"/>
    <w:rsid w:val="00F56869"/>
    <w:rsid w:val="00F82FC3"/>
    <w:rsid w:val="00F94E52"/>
    <w:rsid w:val="00FA0BC0"/>
    <w:rsid w:val="00FC2EEE"/>
    <w:rsid w:val="00FD48DE"/>
    <w:rsid w:val="00FD7C8E"/>
    <w:rsid w:val="00FF0F1A"/>
    <w:rsid w:val="00FF76E5"/>
    <w:rsid w:val="07B2215E"/>
    <w:rsid w:val="11CC1706"/>
    <w:rsid w:val="190A6C6E"/>
    <w:rsid w:val="20C7004D"/>
    <w:rsid w:val="27A110F5"/>
    <w:rsid w:val="450F5BA1"/>
    <w:rsid w:val="50DE21C3"/>
    <w:rsid w:val="5B037945"/>
    <w:rsid w:val="64FB3632"/>
    <w:rsid w:val="6D1E4167"/>
    <w:rsid w:val="6FB7C3E8"/>
    <w:rsid w:val="742324DB"/>
    <w:rsid w:val="7FBA3C77"/>
    <w:rsid w:val="BF735246"/>
    <w:rsid w:val="FBFAC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等线" w:hAnsi="等线" w:eastAsia="等线" w:cs="Times New Roman"/>
      <w:kern w:val="2"/>
      <w:sz w:val="28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99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6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Footer Char"/>
    <w:basedOn w:val="5"/>
    <w:link w:val="2"/>
    <w:qFormat/>
    <w:locked/>
    <w:uiPriority w:val="99"/>
    <w:rPr>
      <w:rFonts w:cs="Times New Roman"/>
      <w:sz w:val="18"/>
      <w:szCs w:val="18"/>
    </w:rPr>
  </w:style>
  <w:style w:type="character" w:customStyle="1" w:styleId="7">
    <w:name w:val="Header Char"/>
    <w:basedOn w:val="5"/>
    <w:link w:val="3"/>
    <w:qFormat/>
    <w:locked/>
    <w:uiPriority w:val="99"/>
    <w:rPr>
      <w:rFonts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Pages>4</Pages>
  <Words>1959</Words>
  <Characters>2009</Characters>
  <Lines>0</Lines>
  <Paragraphs>0</Paragraphs>
  <TotalTime>11</TotalTime>
  <ScaleCrop>false</ScaleCrop>
  <LinksUpToDate>false</LinksUpToDate>
  <CharactersWithSpaces>2075</CharactersWithSpaces>
  <Application>WPS Office_12.8.2.1115_F1E327BC-269C-435d-A152-05C5408002CA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2026-01-13T00:18:00Z</dcterms:created>
  <dc:creator>听 林</dc:creator>
  <cp:lastModifiedBy>牧风</cp:lastModifiedBy>
  <cp:lastPrinted>2025-01-17T00:31:00Z</cp:lastPrinted>
  <dcterms:modified xsi:type="dcterms:W3CDTF">2026-01-18T10:44:15Z</dcterms:modified>
  <dc:title>参评作品推荐表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eyJoZGlkIjoiMGQ1NzBhNzEzMzI3N2ZjOWU0YmEwZDk5NmZkMTkyYTMiLCJ1c2VySWQiOiIzMDc2NzE1OTcifQ==</vt:lpwstr>
  </property>
  <property fmtid="{D5CDD505-2E9C-101B-9397-08002B2CF9AE}" pid="3" name="KSOProductBuildVer">
    <vt:lpwstr>2052-12.8.2.1115</vt:lpwstr>
  </property>
  <property fmtid="{D5CDD505-2E9C-101B-9397-08002B2CF9AE}" pid="4" name="ICV">
    <vt:lpwstr>6FE210B08C9844798384F87311BC8A83_12</vt:lpwstr>
  </property>
</Properties>
</file>