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FF684A">
      <w:pPr>
        <w:spacing w:afterLines="50" w:line="600" w:lineRule="exact"/>
        <w:jc w:val="center"/>
        <w:rPr>
          <w:rFonts w:ascii="华文中宋" w:hAnsi="华文中宋" w:eastAsia="华文中宋" w:cs="方正小标宋简体"/>
          <w:color w:val="000000"/>
          <w:sz w:val="36"/>
          <w:szCs w:val="36"/>
        </w:rPr>
      </w:pPr>
      <w:r>
        <w:rPr>
          <w:rFonts w:hint="eastAsia" w:ascii="华文中宋" w:hAnsi="华文中宋" w:eastAsia="华文中宋" w:cs="方正小标宋简体"/>
          <w:color w:val="000000"/>
          <w:sz w:val="36"/>
          <w:szCs w:val="36"/>
        </w:rPr>
        <w:t>参评作品推荐表</w:t>
      </w:r>
    </w:p>
    <w:tbl>
      <w:tblPr>
        <w:tblStyle w:val="4"/>
        <w:tblW w:w="93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
        <w:gridCol w:w="272"/>
        <w:gridCol w:w="439"/>
        <w:gridCol w:w="244"/>
        <w:gridCol w:w="412"/>
        <w:gridCol w:w="138"/>
        <w:gridCol w:w="952"/>
        <w:gridCol w:w="434"/>
        <w:gridCol w:w="405"/>
        <w:gridCol w:w="531"/>
        <w:gridCol w:w="224"/>
        <w:gridCol w:w="71"/>
        <w:gridCol w:w="389"/>
        <w:gridCol w:w="275"/>
        <w:gridCol w:w="407"/>
        <w:gridCol w:w="140"/>
        <w:gridCol w:w="142"/>
        <w:gridCol w:w="541"/>
        <w:gridCol w:w="143"/>
        <w:gridCol w:w="687"/>
        <w:gridCol w:w="272"/>
        <w:gridCol w:w="811"/>
        <w:gridCol w:w="695"/>
      </w:tblGrid>
      <w:tr w14:paraId="59D3E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exact"/>
          <w:jc w:val="center"/>
        </w:trPr>
        <w:tc>
          <w:tcPr>
            <w:tcW w:w="1395" w:type="dxa"/>
            <w:gridSpan w:val="3"/>
            <w:vAlign w:val="center"/>
          </w:tcPr>
          <w:p w14:paraId="7D56A4F8">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作品标题</w:t>
            </w:r>
          </w:p>
        </w:tc>
        <w:tc>
          <w:tcPr>
            <w:tcW w:w="3411" w:type="dxa"/>
            <w:gridSpan w:val="9"/>
            <w:vAlign w:val="center"/>
          </w:tcPr>
          <w:p w14:paraId="295A6651">
            <w:pPr>
              <w:spacing w:line="300" w:lineRule="exact"/>
              <w:rPr>
                <w:rFonts w:ascii="仿宋" w:hAnsi="仿宋" w:eastAsia="仿宋"/>
                <w:sz w:val="21"/>
                <w:szCs w:val="21"/>
              </w:rPr>
            </w:pPr>
            <w:r>
              <w:rPr>
                <w:rFonts w:hint="eastAsia" w:ascii="仿宋" w:hAnsi="仿宋" w:eastAsia="仿宋"/>
                <w:sz w:val="21"/>
                <w:szCs w:val="21"/>
              </w:rPr>
              <w:t>“世界铜都”的数字“算法”</w:t>
            </w:r>
          </w:p>
        </w:tc>
        <w:tc>
          <w:tcPr>
            <w:tcW w:w="1894" w:type="dxa"/>
            <w:gridSpan w:val="6"/>
            <w:vAlign w:val="center"/>
          </w:tcPr>
          <w:p w14:paraId="36866EA9">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参评项目</w:t>
            </w:r>
          </w:p>
          <w:p w14:paraId="587E0ECC">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（刊发形式）</w:t>
            </w:r>
          </w:p>
        </w:tc>
        <w:tc>
          <w:tcPr>
            <w:tcW w:w="2608" w:type="dxa"/>
            <w:gridSpan w:val="5"/>
            <w:vAlign w:val="center"/>
          </w:tcPr>
          <w:p w14:paraId="09556E69">
            <w:pPr>
              <w:spacing w:line="300" w:lineRule="exact"/>
              <w:rPr>
                <w:rFonts w:ascii="仿宋" w:hAnsi="仿宋" w:eastAsia="仿宋"/>
                <w:color w:val="000000"/>
                <w:sz w:val="21"/>
                <w:szCs w:val="21"/>
              </w:rPr>
            </w:pPr>
            <w:r>
              <w:rPr>
                <w:rFonts w:hint="eastAsia" w:ascii="仿宋" w:hAnsi="仿宋" w:eastAsia="仿宋"/>
                <w:color w:val="000000"/>
                <w:sz w:val="21"/>
                <w:szCs w:val="21"/>
              </w:rPr>
              <w:t>通讯（报纸）</w:t>
            </w:r>
          </w:p>
        </w:tc>
      </w:tr>
      <w:tr w14:paraId="6B707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395" w:type="dxa"/>
            <w:gridSpan w:val="3"/>
            <w:vAlign w:val="center"/>
          </w:tcPr>
          <w:p w14:paraId="43AF6C11">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4"/>
              </w:rPr>
              <w:t>字数</w:t>
            </w:r>
            <w:r>
              <w:rPr>
                <w:rFonts w:ascii="华文中宋" w:hAnsi="华文中宋" w:eastAsia="华文中宋"/>
                <w:color w:val="000000"/>
                <w:sz w:val="24"/>
              </w:rPr>
              <w:t>/</w:t>
            </w:r>
            <w:r>
              <w:rPr>
                <w:rFonts w:hint="eastAsia" w:ascii="华文中宋" w:hAnsi="华文中宋" w:eastAsia="华文中宋"/>
                <w:color w:val="000000"/>
                <w:sz w:val="24"/>
              </w:rPr>
              <w:t>时长</w:t>
            </w:r>
          </w:p>
        </w:tc>
        <w:tc>
          <w:tcPr>
            <w:tcW w:w="3411" w:type="dxa"/>
            <w:gridSpan w:val="9"/>
            <w:vAlign w:val="center"/>
          </w:tcPr>
          <w:p w14:paraId="53530E4C">
            <w:pPr>
              <w:spacing w:line="240" w:lineRule="exact"/>
              <w:rPr>
                <w:rFonts w:hint="eastAsia" w:ascii="仿宋" w:hAnsi="仿宋" w:eastAsia="仿宋"/>
                <w:color w:val="000000"/>
                <w:sz w:val="21"/>
                <w:szCs w:val="21"/>
                <w:lang w:eastAsia="zh-CN"/>
              </w:rPr>
            </w:pPr>
            <w:r>
              <w:rPr>
                <w:rFonts w:ascii="仿宋" w:hAnsi="仿宋" w:eastAsia="仿宋" w:cs="仿宋"/>
                <w:color w:val="000000"/>
                <w:sz w:val="21"/>
                <w:szCs w:val="21"/>
              </w:rPr>
              <w:t>2654</w:t>
            </w:r>
            <w:r>
              <w:rPr>
                <w:rFonts w:hint="eastAsia" w:ascii="仿宋" w:hAnsi="仿宋" w:eastAsia="仿宋" w:cs="仿宋"/>
                <w:color w:val="000000"/>
                <w:sz w:val="21"/>
                <w:szCs w:val="21"/>
                <w:lang w:eastAsia="zh-CN"/>
              </w:rPr>
              <w:t>字</w:t>
            </w:r>
          </w:p>
        </w:tc>
        <w:tc>
          <w:tcPr>
            <w:tcW w:w="1211" w:type="dxa"/>
            <w:gridSpan w:val="4"/>
            <w:vAlign w:val="center"/>
          </w:tcPr>
          <w:p w14:paraId="24AF03EF">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体裁</w:t>
            </w:r>
          </w:p>
        </w:tc>
        <w:tc>
          <w:tcPr>
            <w:tcW w:w="3291" w:type="dxa"/>
            <w:gridSpan w:val="7"/>
            <w:vAlign w:val="center"/>
          </w:tcPr>
          <w:p w14:paraId="522F31AE">
            <w:pPr>
              <w:spacing w:line="300" w:lineRule="exact"/>
              <w:rPr>
                <w:rFonts w:ascii="仿宋" w:hAnsi="仿宋" w:eastAsia="仿宋"/>
                <w:color w:val="000000"/>
                <w:sz w:val="21"/>
                <w:szCs w:val="21"/>
              </w:rPr>
            </w:pPr>
            <w:bookmarkStart w:id="0" w:name="_GoBack"/>
            <w:bookmarkEnd w:id="0"/>
          </w:p>
        </w:tc>
      </w:tr>
      <w:tr w14:paraId="38335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395" w:type="dxa"/>
            <w:gridSpan w:val="3"/>
            <w:vAlign w:val="center"/>
          </w:tcPr>
          <w:p w14:paraId="160793A2">
            <w:pPr>
              <w:spacing w:line="300" w:lineRule="exact"/>
              <w:jc w:val="center"/>
              <w:rPr>
                <w:rFonts w:ascii="华文中宋" w:hAnsi="华文中宋" w:eastAsia="华文中宋"/>
                <w:color w:val="000000"/>
                <w:spacing w:val="-12"/>
                <w:sz w:val="28"/>
              </w:rPr>
            </w:pPr>
            <w:r>
              <w:rPr>
                <w:rFonts w:hint="eastAsia" w:ascii="华文中宋" w:hAnsi="华文中宋" w:eastAsia="华文中宋"/>
                <w:color w:val="000000"/>
                <w:spacing w:val="-12"/>
                <w:sz w:val="28"/>
              </w:rPr>
              <w:t>作</w:t>
            </w:r>
            <w:r>
              <w:rPr>
                <w:rFonts w:ascii="华文中宋" w:hAnsi="华文中宋" w:eastAsia="华文中宋"/>
                <w:color w:val="000000"/>
                <w:spacing w:val="-12"/>
                <w:sz w:val="28"/>
              </w:rPr>
              <w:t xml:space="preserve">  </w:t>
            </w:r>
            <w:r>
              <w:rPr>
                <w:rFonts w:hint="eastAsia" w:ascii="华文中宋" w:hAnsi="华文中宋" w:eastAsia="华文中宋"/>
                <w:color w:val="000000"/>
                <w:spacing w:val="-12"/>
                <w:sz w:val="28"/>
              </w:rPr>
              <w:t>者</w:t>
            </w:r>
          </w:p>
          <w:p w14:paraId="5915A925">
            <w:pPr>
              <w:spacing w:line="300" w:lineRule="exact"/>
              <w:jc w:val="center"/>
              <w:rPr>
                <w:rFonts w:ascii="华文中宋" w:hAnsi="华文中宋" w:eastAsia="华文中宋"/>
                <w:color w:val="000000"/>
                <w:spacing w:val="-12"/>
                <w:sz w:val="24"/>
              </w:rPr>
            </w:pPr>
            <w:r>
              <w:rPr>
                <w:rFonts w:hint="eastAsia" w:ascii="华文中宋" w:hAnsi="华文中宋" w:eastAsia="华文中宋"/>
                <w:color w:val="000000"/>
                <w:spacing w:val="-12"/>
                <w:sz w:val="22"/>
              </w:rPr>
              <w:t>（主创人员）</w:t>
            </w:r>
          </w:p>
        </w:tc>
        <w:tc>
          <w:tcPr>
            <w:tcW w:w="3800" w:type="dxa"/>
            <w:gridSpan w:val="10"/>
            <w:vAlign w:val="center"/>
          </w:tcPr>
          <w:p w14:paraId="46EB5DD2">
            <w:pPr>
              <w:spacing w:line="300" w:lineRule="exact"/>
              <w:rPr>
                <w:rFonts w:ascii="仿宋" w:hAnsi="仿宋" w:eastAsia="仿宋"/>
                <w:color w:val="000000"/>
                <w:sz w:val="18"/>
                <w:szCs w:val="18"/>
              </w:rPr>
            </w:pPr>
            <w:r>
              <w:rPr>
                <w:rFonts w:hint="eastAsia" w:ascii="仿宋" w:hAnsi="仿宋" w:eastAsia="仿宋"/>
                <w:sz w:val="21"/>
                <w:szCs w:val="21"/>
              </w:rPr>
              <w:t>周乐丰、张俊娟</w:t>
            </w:r>
          </w:p>
        </w:tc>
        <w:tc>
          <w:tcPr>
            <w:tcW w:w="964" w:type="dxa"/>
            <w:gridSpan w:val="4"/>
            <w:vAlign w:val="center"/>
          </w:tcPr>
          <w:p w14:paraId="5E07A058">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编辑</w:t>
            </w:r>
          </w:p>
        </w:tc>
        <w:tc>
          <w:tcPr>
            <w:tcW w:w="3149" w:type="dxa"/>
            <w:gridSpan w:val="6"/>
            <w:vAlign w:val="center"/>
          </w:tcPr>
          <w:p w14:paraId="621402DF">
            <w:pPr>
              <w:spacing w:line="300" w:lineRule="exact"/>
              <w:rPr>
                <w:rFonts w:ascii="仿宋" w:hAnsi="仿宋" w:eastAsia="仿宋"/>
                <w:color w:val="000000"/>
                <w:w w:val="95"/>
                <w:szCs w:val="21"/>
              </w:rPr>
            </w:pPr>
            <w:r>
              <w:rPr>
                <w:rFonts w:hint="eastAsia" w:ascii="仿宋" w:hAnsi="仿宋" w:eastAsia="仿宋" w:cs="仿宋"/>
                <w:color w:val="000000"/>
                <w:sz w:val="21"/>
                <w:szCs w:val="21"/>
              </w:rPr>
              <w:t>王晓明、冯晓丹、张丽琴</w:t>
            </w:r>
          </w:p>
        </w:tc>
      </w:tr>
      <w:tr w14:paraId="7F521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395" w:type="dxa"/>
            <w:gridSpan w:val="3"/>
            <w:vAlign w:val="center"/>
          </w:tcPr>
          <w:p w14:paraId="1F860159">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原创单位</w:t>
            </w:r>
          </w:p>
        </w:tc>
        <w:tc>
          <w:tcPr>
            <w:tcW w:w="2585" w:type="dxa"/>
            <w:gridSpan w:val="6"/>
            <w:vAlign w:val="center"/>
          </w:tcPr>
          <w:p w14:paraId="3417203A">
            <w:pPr>
              <w:spacing w:line="300" w:lineRule="exact"/>
              <w:rPr>
                <w:rFonts w:ascii="仿宋" w:hAnsi="仿宋" w:eastAsia="仿宋"/>
                <w:color w:val="000000"/>
                <w:szCs w:val="21"/>
              </w:rPr>
            </w:pPr>
            <w:r>
              <w:rPr>
                <w:rFonts w:hint="eastAsia" w:ascii="仿宋" w:hAnsi="仿宋" w:eastAsia="仿宋"/>
                <w:color w:val="000000"/>
                <w:sz w:val="21"/>
                <w:szCs w:val="21"/>
              </w:rPr>
              <w:t>鹰潭市融媒体中心</w:t>
            </w:r>
          </w:p>
        </w:tc>
        <w:tc>
          <w:tcPr>
            <w:tcW w:w="1897" w:type="dxa"/>
            <w:gridSpan w:val="6"/>
            <w:vAlign w:val="center"/>
          </w:tcPr>
          <w:p w14:paraId="1C3FA1F2">
            <w:pPr>
              <w:spacing w:line="300" w:lineRule="exact"/>
              <w:rPr>
                <w:rFonts w:ascii="仿宋_GB2312" w:hAnsi="仿宋" w:eastAsia="仿宋_GB2312"/>
                <w:color w:val="000000"/>
                <w:sz w:val="18"/>
                <w:szCs w:val="18"/>
                <w:highlight w:val="green"/>
              </w:rPr>
            </w:pPr>
            <w:r>
              <w:rPr>
                <w:rFonts w:hint="eastAsia" w:ascii="华文中宋" w:hAnsi="华文中宋" w:eastAsia="华文中宋"/>
                <w:color w:val="000000"/>
                <w:sz w:val="28"/>
                <w:szCs w:val="28"/>
              </w:rPr>
              <w:t>发布端</w:t>
            </w:r>
            <w:r>
              <w:rPr>
                <w:rFonts w:ascii="华文中宋" w:hAnsi="华文中宋" w:eastAsia="华文中宋"/>
                <w:color w:val="000000"/>
                <w:sz w:val="28"/>
                <w:szCs w:val="28"/>
              </w:rPr>
              <w:t>/</w:t>
            </w:r>
            <w:r>
              <w:rPr>
                <w:rFonts w:hint="eastAsia" w:ascii="华文中宋" w:hAnsi="华文中宋" w:eastAsia="华文中宋"/>
                <w:color w:val="000000"/>
                <w:sz w:val="28"/>
                <w:szCs w:val="28"/>
              </w:rPr>
              <w:t>账号</w:t>
            </w:r>
            <w:r>
              <w:rPr>
                <w:rFonts w:ascii="华文中宋" w:hAnsi="华文中宋" w:eastAsia="华文中宋"/>
                <w:color w:val="000000"/>
                <w:sz w:val="28"/>
                <w:szCs w:val="28"/>
              </w:rPr>
              <w:t>/</w:t>
            </w:r>
            <w:r>
              <w:rPr>
                <w:rFonts w:hint="eastAsia" w:ascii="华文中宋" w:hAnsi="华文中宋" w:eastAsia="华文中宋"/>
                <w:color w:val="000000"/>
                <w:sz w:val="28"/>
                <w:szCs w:val="28"/>
              </w:rPr>
              <w:t>媒体名称</w:t>
            </w:r>
          </w:p>
        </w:tc>
        <w:tc>
          <w:tcPr>
            <w:tcW w:w="3431" w:type="dxa"/>
            <w:gridSpan w:val="8"/>
            <w:vAlign w:val="center"/>
          </w:tcPr>
          <w:p w14:paraId="3E026D3E">
            <w:pPr>
              <w:spacing w:line="260" w:lineRule="exact"/>
              <w:rPr>
                <w:rFonts w:ascii="仿宋" w:hAnsi="仿宋" w:eastAsia="仿宋"/>
                <w:color w:val="000000"/>
                <w:szCs w:val="21"/>
                <w:highlight w:val="green"/>
              </w:rPr>
            </w:pPr>
            <w:r>
              <w:rPr>
                <w:rFonts w:hint="eastAsia" w:ascii="仿宋" w:hAnsi="仿宋" w:eastAsia="仿宋"/>
                <w:color w:val="000000"/>
                <w:sz w:val="21"/>
                <w:szCs w:val="21"/>
              </w:rPr>
              <w:t>鹰潭日报</w:t>
            </w:r>
          </w:p>
        </w:tc>
      </w:tr>
      <w:tr w14:paraId="787F0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2189" w:type="dxa"/>
            <w:gridSpan w:val="6"/>
            <w:vAlign w:val="center"/>
          </w:tcPr>
          <w:p w14:paraId="51ED3B72">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刊播栏目或版面</w:t>
            </w:r>
          </w:p>
        </w:tc>
        <w:tc>
          <w:tcPr>
            <w:tcW w:w="3970" w:type="dxa"/>
            <w:gridSpan w:val="11"/>
            <w:vAlign w:val="center"/>
          </w:tcPr>
          <w:p w14:paraId="7A5999C9">
            <w:pPr>
              <w:spacing w:line="300" w:lineRule="exact"/>
              <w:rPr>
                <w:rFonts w:ascii="仿宋" w:hAnsi="仿宋" w:eastAsia="仿宋"/>
                <w:color w:val="000000"/>
                <w:szCs w:val="21"/>
              </w:rPr>
            </w:pPr>
            <w:r>
              <w:rPr>
                <w:rFonts w:hint="eastAsia" w:ascii="仿宋" w:hAnsi="仿宋" w:eastAsia="仿宋"/>
                <w:color w:val="000000"/>
                <w:sz w:val="21"/>
                <w:szCs w:val="21"/>
              </w:rPr>
              <w:t>一版</w:t>
            </w:r>
          </w:p>
        </w:tc>
        <w:tc>
          <w:tcPr>
            <w:tcW w:w="1371" w:type="dxa"/>
            <w:gridSpan w:val="3"/>
            <w:vAlign w:val="center"/>
          </w:tcPr>
          <w:p w14:paraId="1101120F">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刊播日期</w:t>
            </w:r>
          </w:p>
        </w:tc>
        <w:tc>
          <w:tcPr>
            <w:tcW w:w="1778" w:type="dxa"/>
            <w:gridSpan w:val="3"/>
            <w:vAlign w:val="center"/>
          </w:tcPr>
          <w:p w14:paraId="5560CC65">
            <w:pPr>
              <w:spacing w:line="300" w:lineRule="exact"/>
              <w:rPr>
                <w:rFonts w:ascii="仿宋" w:hAnsi="仿宋" w:eastAsia="仿宋"/>
                <w:color w:val="000000"/>
                <w:sz w:val="21"/>
                <w:szCs w:val="21"/>
              </w:rPr>
            </w:pPr>
            <w:r>
              <w:rPr>
                <w:rFonts w:ascii="仿宋" w:hAnsi="仿宋" w:eastAsia="仿宋"/>
                <w:color w:val="000000"/>
                <w:sz w:val="21"/>
                <w:szCs w:val="21"/>
              </w:rPr>
              <w:t>2025</w:t>
            </w:r>
            <w:r>
              <w:rPr>
                <w:rFonts w:hint="eastAsia" w:ascii="仿宋" w:hAnsi="仿宋" w:eastAsia="仿宋"/>
                <w:color w:val="000000"/>
                <w:sz w:val="21"/>
                <w:szCs w:val="21"/>
              </w:rPr>
              <w:t>年</w:t>
            </w:r>
            <w:r>
              <w:rPr>
                <w:rFonts w:ascii="仿宋" w:hAnsi="仿宋" w:eastAsia="仿宋"/>
                <w:color w:val="000000"/>
                <w:sz w:val="21"/>
                <w:szCs w:val="21"/>
              </w:rPr>
              <w:t>8</w:t>
            </w:r>
            <w:r>
              <w:rPr>
                <w:rFonts w:hint="eastAsia" w:ascii="仿宋" w:hAnsi="仿宋" w:eastAsia="仿宋"/>
                <w:color w:val="000000"/>
                <w:sz w:val="21"/>
                <w:szCs w:val="21"/>
              </w:rPr>
              <w:t>月</w:t>
            </w:r>
            <w:r>
              <w:rPr>
                <w:rFonts w:ascii="仿宋" w:hAnsi="仿宋" w:eastAsia="仿宋"/>
                <w:color w:val="000000"/>
                <w:sz w:val="21"/>
                <w:szCs w:val="21"/>
              </w:rPr>
              <w:t>6</w:t>
            </w:r>
            <w:r>
              <w:rPr>
                <w:rFonts w:hint="eastAsia" w:ascii="仿宋" w:hAnsi="仿宋" w:eastAsia="仿宋"/>
                <w:color w:val="000000"/>
                <w:sz w:val="21"/>
                <w:szCs w:val="21"/>
              </w:rPr>
              <w:t>日</w:t>
            </w:r>
          </w:p>
        </w:tc>
      </w:tr>
      <w:tr w14:paraId="0CAEA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exact"/>
          <w:jc w:val="center"/>
        </w:trPr>
        <w:tc>
          <w:tcPr>
            <w:tcW w:w="1395" w:type="dxa"/>
            <w:gridSpan w:val="3"/>
            <w:vAlign w:val="center"/>
          </w:tcPr>
          <w:p w14:paraId="1EA4F3CA">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新媒体作品网址</w:t>
            </w:r>
          </w:p>
        </w:tc>
        <w:tc>
          <w:tcPr>
            <w:tcW w:w="4482" w:type="dxa"/>
            <w:gridSpan w:val="12"/>
            <w:vAlign w:val="center"/>
          </w:tcPr>
          <w:p w14:paraId="06E6F8EE">
            <w:pPr>
              <w:spacing w:line="300" w:lineRule="exact"/>
              <w:rPr>
                <w:rFonts w:ascii="仿宋" w:hAnsi="仿宋" w:eastAsia="仿宋"/>
                <w:color w:val="000000"/>
                <w:szCs w:val="21"/>
              </w:rPr>
            </w:pPr>
          </w:p>
        </w:tc>
        <w:tc>
          <w:tcPr>
            <w:tcW w:w="2736" w:type="dxa"/>
            <w:gridSpan w:val="7"/>
            <w:vAlign w:val="center"/>
          </w:tcPr>
          <w:p w14:paraId="5386FF79">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是否为“三好作品”</w:t>
            </w:r>
          </w:p>
        </w:tc>
        <w:tc>
          <w:tcPr>
            <w:tcW w:w="695" w:type="dxa"/>
            <w:vAlign w:val="center"/>
          </w:tcPr>
          <w:p w14:paraId="156D3DBD">
            <w:pPr>
              <w:spacing w:line="300" w:lineRule="exact"/>
              <w:rPr>
                <w:rFonts w:ascii="仿宋" w:hAnsi="仿宋" w:eastAsia="仿宋"/>
                <w:color w:val="000000"/>
                <w:szCs w:val="21"/>
              </w:rPr>
            </w:pPr>
          </w:p>
        </w:tc>
      </w:tr>
      <w:tr w14:paraId="1C079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jc w:val="center"/>
        </w:trPr>
        <w:tc>
          <w:tcPr>
            <w:tcW w:w="956" w:type="dxa"/>
            <w:gridSpan w:val="2"/>
            <w:vAlign w:val="center"/>
          </w:tcPr>
          <w:p w14:paraId="63B7E82C">
            <w:pPr>
              <w:spacing w:line="300" w:lineRule="exact"/>
              <w:jc w:val="center"/>
              <w:rPr>
                <w:rFonts w:ascii="华文中宋" w:hAnsi="华文中宋" w:eastAsia="华文中宋"/>
                <w:color w:val="000000"/>
                <w:sz w:val="28"/>
              </w:rPr>
            </w:pPr>
            <w:r>
              <w:rPr>
                <w:rFonts w:ascii="华文中宋" w:hAnsi="华文中宋" w:eastAsia="华文中宋"/>
                <w:color w:val="000000"/>
                <w:sz w:val="28"/>
              </w:rPr>
              <w:t xml:space="preserve">  </w:t>
            </w:r>
            <w:r>
              <w:rPr>
                <w:rFonts w:hint="eastAsia" w:ascii="华文中宋" w:hAnsi="华文中宋" w:eastAsia="华文中宋"/>
                <w:color w:val="000000"/>
                <w:sz w:val="28"/>
              </w:rPr>
              <w:t>︵</w:t>
            </w:r>
          </w:p>
          <w:p w14:paraId="209297B4">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作采</w:t>
            </w:r>
          </w:p>
          <w:p w14:paraId="62C609CE">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品编</w:t>
            </w:r>
          </w:p>
          <w:p w14:paraId="12978570">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简过</w:t>
            </w:r>
          </w:p>
          <w:p w14:paraId="71A7EAC2">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介程</w:t>
            </w:r>
          </w:p>
          <w:p w14:paraId="1EE2EB78">
            <w:pPr>
              <w:spacing w:line="300" w:lineRule="exact"/>
              <w:jc w:val="center"/>
              <w:rPr>
                <w:rFonts w:ascii="华文中宋" w:hAnsi="华文中宋" w:eastAsia="华文中宋"/>
                <w:color w:val="000000"/>
                <w:sz w:val="28"/>
              </w:rPr>
            </w:pPr>
            <w:r>
              <w:rPr>
                <w:rFonts w:ascii="华文中宋" w:hAnsi="华文中宋" w:eastAsia="华文中宋"/>
                <w:color w:val="000000"/>
                <w:sz w:val="28"/>
              </w:rPr>
              <w:t xml:space="preserve">  </w:t>
            </w:r>
            <w:r>
              <w:rPr>
                <w:rFonts w:hint="eastAsia" w:ascii="华文中宋" w:hAnsi="华文中宋" w:eastAsia="华文中宋"/>
                <w:color w:val="000000"/>
                <w:sz w:val="28"/>
              </w:rPr>
              <w:t>︶</w:t>
            </w:r>
          </w:p>
        </w:tc>
        <w:tc>
          <w:tcPr>
            <w:tcW w:w="8352" w:type="dxa"/>
            <w:gridSpan w:val="21"/>
            <w:vAlign w:val="center"/>
          </w:tcPr>
          <w:p w14:paraId="5A1AEDE4">
            <w:pPr>
              <w:spacing w:line="300" w:lineRule="exact"/>
              <w:ind w:firstLine="416" w:firstLineChars="200"/>
              <w:rPr>
                <w:rFonts w:ascii="仿宋" w:hAnsi="仿宋" w:eastAsia="仿宋"/>
                <w:color w:val="000000"/>
                <w:w w:val="95"/>
                <w:sz w:val="21"/>
                <w:szCs w:val="21"/>
              </w:rPr>
            </w:pPr>
            <w:r>
              <w:rPr>
                <w:rFonts w:hint="eastAsia" w:ascii="仿宋" w:hAnsi="仿宋" w:eastAsia="仿宋"/>
                <w:color w:val="000000"/>
                <w:sz w:val="21"/>
                <w:szCs w:val="21"/>
              </w:rPr>
              <w:t>“世界铜都”鹰潭是打造“江西智造”铜基新材料集群的主战场</w:t>
            </w:r>
            <w:r>
              <w:rPr>
                <w:rFonts w:ascii="仿宋" w:hAnsi="仿宋" w:eastAsia="仿宋"/>
                <w:color w:val="000000"/>
                <w:sz w:val="21"/>
                <w:szCs w:val="21"/>
              </w:rPr>
              <w:t>,</w:t>
            </w:r>
            <w:r>
              <w:rPr>
                <w:rFonts w:hint="eastAsia" w:ascii="仿宋" w:hAnsi="仿宋" w:eastAsia="仿宋"/>
                <w:color w:val="000000"/>
                <w:sz w:val="21"/>
                <w:szCs w:val="21"/>
              </w:rPr>
              <w:t>文章从“定制精准化</w:t>
            </w:r>
            <w:r>
              <w:rPr>
                <w:rFonts w:ascii="仿宋" w:hAnsi="仿宋" w:eastAsia="仿宋"/>
                <w:color w:val="000000"/>
                <w:sz w:val="21"/>
                <w:szCs w:val="21"/>
              </w:rPr>
              <w:t>‘</w:t>
            </w:r>
            <w:r>
              <w:rPr>
                <w:rFonts w:hint="eastAsia" w:ascii="仿宋" w:hAnsi="仿宋" w:eastAsia="仿宋"/>
                <w:color w:val="000000"/>
                <w:sz w:val="21"/>
                <w:szCs w:val="21"/>
              </w:rPr>
              <w:t>数转</w:t>
            </w:r>
            <w:r>
              <w:rPr>
                <w:rFonts w:ascii="仿宋" w:hAnsi="仿宋" w:eastAsia="仿宋"/>
                <w:color w:val="000000"/>
                <w:sz w:val="21"/>
                <w:szCs w:val="21"/>
              </w:rPr>
              <w:t>’</w:t>
            </w:r>
            <w:r>
              <w:rPr>
                <w:rFonts w:hint="eastAsia" w:ascii="仿宋" w:hAnsi="仿宋" w:eastAsia="仿宋"/>
                <w:color w:val="000000"/>
                <w:sz w:val="21"/>
                <w:szCs w:val="21"/>
              </w:rPr>
              <w:t>路线”“配置专业化</w:t>
            </w:r>
            <w:r>
              <w:rPr>
                <w:rFonts w:ascii="仿宋" w:hAnsi="仿宋" w:eastAsia="仿宋"/>
                <w:color w:val="000000"/>
                <w:sz w:val="21"/>
                <w:szCs w:val="21"/>
              </w:rPr>
              <w:t>‘</w:t>
            </w:r>
            <w:r>
              <w:rPr>
                <w:rFonts w:hint="eastAsia" w:ascii="仿宋" w:hAnsi="仿宋" w:eastAsia="仿宋"/>
                <w:color w:val="000000"/>
                <w:sz w:val="21"/>
                <w:szCs w:val="21"/>
              </w:rPr>
              <w:t>数转</w:t>
            </w:r>
            <w:r>
              <w:rPr>
                <w:rFonts w:ascii="仿宋" w:hAnsi="仿宋" w:eastAsia="仿宋"/>
                <w:color w:val="000000"/>
                <w:sz w:val="21"/>
                <w:szCs w:val="21"/>
              </w:rPr>
              <w:t>’</w:t>
            </w:r>
            <w:r>
              <w:rPr>
                <w:rFonts w:hint="eastAsia" w:ascii="仿宋" w:hAnsi="仿宋" w:eastAsia="仿宋"/>
                <w:color w:val="000000"/>
                <w:sz w:val="21"/>
                <w:szCs w:val="21"/>
              </w:rPr>
              <w:t>服务”“培育协同化</w:t>
            </w:r>
            <w:r>
              <w:rPr>
                <w:rFonts w:ascii="仿宋" w:hAnsi="仿宋" w:eastAsia="仿宋"/>
                <w:color w:val="000000"/>
                <w:sz w:val="21"/>
                <w:szCs w:val="21"/>
              </w:rPr>
              <w:t>‘</w:t>
            </w:r>
            <w:r>
              <w:rPr>
                <w:rFonts w:hint="eastAsia" w:ascii="仿宋" w:hAnsi="仿宋" w:eastAsia="仿宋"/>
                <w:color w:val="000000"/>
                <w:sz w:val="21"/>
                <w:szCs w:val="21"/>
              </w:rPr>
              <w:t>数转</w:t>
            </w:r>
            <w:r>
              <w:rPr>
                <w:rFonts w:ascii="仿宋" w:hAnsi="仿宋" w:eastAsia="仿宋"/>
                <w:color w:val="000000"/>
                <w:sz w:val="21"/>
                <w:szCs w:val="21"/>
              </w:rPr>
              <w:t>’</w:t>
            </w:r>
            <w:r>
              <w:rPr>
                <w:rFonts w:hint="eastAsia" w:ascii="仿宋" w:hAnsi="仿宋" w:eastAsia="仿宋"/>
                <w:color w:val="000000"/>
                <w:sz w:val="21"/>
                <w:szCs w:val="21"/>
              </w:rPr>
              <w:t>生态”三个维度，通过钲旺科技、鑫铂瑞科技等企业的鲜活案例，结合政策支持、服务对接、平台搭建等具体举措，系统呈现鹰潭如何以差异化策略、专业化服务和生态化布局，推动</w:t>
            </w:r>
            <w:r>
              <w:rPr>
                <w:rFonts w:ascii="仿宋" w:hAnsi="仿宋" w:eastAsia="仿宋"/>
                <w:color w:val="000000"/>
                <w:sz w:val="21"/>
                <w:szCs w:val="21"/>
              </w:rPr>
              <w:t>78.5%</w:t>
            </w:r>
            <w:r>
              <w:rPr>
                <w:rFonts w:hint="eastAsia" w:ascii="仿宋" w:hAnsi="仿宋" w:eastAsia="仿宋"/>
                <w:color w:val="000000"/>
                <w:sz w:val="21"/>
                <w:szCs w:val="21"/>
              </w:rPr>
              <w:t>的规上工业企业实现数字化转型，为传统产业“智改数转网联”提供了可借鉴的样本。</w:t>
            </w:r>
          </w:p>
        </w:tc>
      </w:tr>
      <w:tr w14:paraId="19B20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3" w:hRule="exact"/>
          <w:jc w:val="center"/>
        </w:trPr>
        <w:tc>
          <w:tcPr>
            <w:tcW w:w="956" w:type="dxa"/>
            <w:gridSpan w:val="2"/>
            <w:vAlign w:val="center"/>
          </w:tcPr>
          <w:p w14:paraId="20AA8B2D">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社</w:t>
            </w:r>
          </w:p>
          <w:p w14:paraId="321E82EB">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会</w:t>
            </w:r>
          </w:p>
          <w:p w14:paraId="3D0DE3C6">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效</w:t>
            </w:r>
          </w:p>
          <w:p w14:paraId="40D57D79">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果</w:t>
            </w:r>
          </w:p>
        </w:tc>
        <w:tc>
          <w:tcPr>
            <w:tcW w:w="8352" w:type="dxa"/>
            <w:gridSpan w:val="21"/>
            <w:vAlign w:val="center"/>
          </w:tcPr>
          <w:p w14:paraId="14AF953E">
            <w:pPr>
              <w:spacing w:line="300" w:lineRule="exact"/>
              <w:ind w:firstLine="416" w:firstLineChars="200"/>
              <w:rPr>
                <w:rFonts w:ascii="仿宋" w:hAnsi="仿宋" w:eastAsia="仿宋"/>
                <w:color w:val="000000"/>
                <w:sz w:val="21"/>
                <w:szCs w:val="21"/>
              </w:rPr>
            </w:pPr>
            <w:r>
              <w:rPr>
                <w:rFonts w:hint="eastAsia" w:ascii="仿宋" w:hAnsi="仿宋" w:eastAsia="仿宋"/>
                <w:color w:val="000000"/>
                <w:sz w:val="21"/>
                <w:szCs w:val="21"/>
              </w:rPr>
              <w:t>该作品入选</w:t>
            </w:r>
            <w:r>
              <w:rPr>
                <w:rFonts w:ascii="仿宋" w:hAnsi="仿宋" w:eastAsia="仿宋"/>
                <w:color w:val="000000"/>
                <w:sz w:val="21"/>
                <w:szCs w:val="21"/>
              </w:rPr>
              <w:t>2025</w:t>
            </w:r>
            <w:r>
              <w:rPr>
                <w:rFonts w:hint="eastAsia" w:ascii="仿宋" w:hAnsi="仿宋" w:eastAsia="仿宋"/>
                <w:color w:val="000000"/>
                <w:sz w:val="21"/>
                <w:szCs w:val="21"/>
              </w:rPr>
              <w:t>年</w:t>
            </w:r>
            <w:r>
              <w:rPr>
                <w:rFonts w:ascii="仿宋" w:hAnsi="仿宋" w:eastAsia="仿宋"/>
                <w:color w:val="000000"/>
                <w:sz w:val="21"/>
                <w:szCs w:val="21"/>
              </w:rPr>
              <w:t>8</w:t>
            </w:r>
            <w:r>
              <w:rPr>
                <w:rFonts w:hint="eastAsia" w:ascii="仿宋" w:hAnsi="仿宋" w:eastAsia="仿宋"/>
                <w:color w:val="000000"/>
                <w:sz w:val="21"/>
                <w:szCs w:val="21"/>
              </w:rPr>
              <w:t>月份《当代江西》杂志经济视界版。文章将鹰潭“一企一策”“诊转一体”“产业大脑赋能”等举措具象化，破解了企业“不愿转、不敢转、不会转”的普遍困惑，为省内乃至全国同类传统产业集群数字化转型提供了实操参考。此外，文章凸显政府在政策扶持、服务对接、生态构建中的关键作用，以及企业作为转型主体的创新活力，既让企业感知政策温度，也为地方政府优化数字化服务提供了实践范本。</w:t>
            </w:r>
          </w:p>
        </w:tc>
      </w:tr>
      <w:tr w14:paraId="05D9C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exact"/>
          <w:jc w:val="center"/>
        </w:trPr>
        <w:tc>
          <w:tcPr>
            <w:tcW w:w="684" w:type="dxa"/>
            <w:vMerge w:val="restart"/>
            <w:vAlign w:val="center"/>
          </w:tcPr>
          <w:p w14:paraId="4E8A9C8C">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传</w:t>
            </w:r>
          </w:p>
          <w:p w14:paraId="7E894E1B">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播</w:t>
            </w:r>
          </w:p>
          <w:p w14:paraId="10B88F30">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数</w:t>
            </w:r>
          </w:p>
          <w:p w14:paraId="7AFFD652">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据</w:t>
            </w:r>
          </w:p>
        </w:tc>
        <w:tc>
          <w:tcPr>
            <w:tcW w:w="955" w:type="dxa"/>
            <w:gridSpan w:val="3"/>
            <w:vMerge w:val="restart"/>
            <w:vAlign w:val="center"/>
          </w:tcPr>
          <w:p w14:paraId="0799E65C">
            <w:pPr>
              <w:spacing w:line="300" w:lineRule="exact"/>
              <w:jc w:val="center"/>
              <w:rPr>
                <w:rFonts w:ascii="仿宋" w:hAnsi="仿宋" w:eastAsia="仿宋" w:cs="仿宋"/>
                <w:color w:val="000000"/>
                <w:spacing w:val="-10"/>
                <w:sz w:val="21"/>
                <w:szCs w:val="21"/>
              </w:rPr>
            </w:pPr>
            <w:r>
              <w:rPr>
                <w:rFonts w:hint="eastAsia" w:ascii="仿宋" w:hAnsi="仿宋" w:eastAsia="仿宋" w:cs="仿宋"/>
                <w:color w:val="000000"/>
                <w:spacing w:val="-10"/>
                <w:sz w:val="21"/>
                <w:szCs w:val="21"/>
              </w:rPr>
              <w:t>新媒体传播</w:t>
            </w:r>
            <w:r>
              <w:rPr>
                <w:rFonts w:hint="eastAsia" w:ascii="仿宋" w:hAnsi="仿宋" w:eastAsia="仿宋" w:cs="仿宋"/>
                <w:color w:val="000000"/>
                <w:sz w:val="21"/>
                <w:szCs w:val="21"/>
              </w:rPr>
              <w:t>平台网址</w:t>
            </w:r>
          </w:p>
        </w:tc>
        <w:tc>
          <w:tcPr>
            <w:tcW w:w="412" w:type="dxa"/>
            <w:vAlign w:val="center"/>
          </w:tcPr>
          <w:p w14:paraId="6066F4DB">
            <w:pPr>
              <w:spacing w:line="300" w:lineRule="exact"/>
              <w:rPr>
                <w:rFonts w:ascii="仿宋" w:hAnsi="仿宋" w:eastAsia="仿宋" w:cs="仿宋"/>
                <w:color w:val="000000"/>
                <w:sz w:val="21"/>
                <w:szCs w:val="21"/>
              </w:rPr>
            </w:pPr>
            <w:r>
              <w:rPr>
                <w:rFonts w:ascii="仿宋" w:hAnsi="仿宋" w:eastAsia="仿宋" w:cs="仿宋"/>
                <w:color w:val="000000"/>
                <w:sz w:val="21"/>
                <w:szCs w:val="21"/>
              </w:rPr>
              <w:t>1</w:t>
            </w:r>
          </w:p>
        </w:tc>
        <w:tc>
          <w:tcPr>
            <w:tcW w:w="7257" w:type="dxa"/>
            <w:gridSpan w:val="18"/>
            <w:vAlign w:val="center"/>
          </w:tcPr>
          <w:p w14:paraId="5E64D0AD">
            <w:pPr>
              <w:spacing w:line="300" w:lineRule="exact"/>
              <w:rPr>
                <w:rFonts w:ascii="仿宋" w:hAnsi="仿宋" w:eastAsia="仿宋"/>
                <w:color w:val="000000"/>
                <w:sz w:val="21"/>
                <w:szCs w:val="21"/>
              </w:rPr>
            </w:pPr>
            <w:r>
              <w:rPr>
                <w:rFonts w:ascii="仿宋" w:hAnsi="仿宋" w:eastAsia="仿宋"/>
                <w:color w:val="000000"/>
                <w:sz w:val="21"/>
                <w:szCs w:val="21"/>
              </w:rPr>
              <w:t>https://mp.weixin.qq.com/s/z1Y19hNCBNkViEQ2VmoSxg?uid=6846282f47da6000197ce1c8</w:t>
            </w:r>
          </w:p>
        </w:tc>
      </w:tr>
      <w:tr w14:paraId="6FFA8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684" w:type="dxa"/>
            <w:vMerge w:val="continue"/>
            <w:vAlign w:val="center"/>
          </w:tcPr>
          <w:p w14:paraId="476C72D4">
            <w:pPr>
              <w:widowControl/>
              <w:spacing w:line="300" w:lineRule="exact"/>
              <w:jc w:val="left"/>
              <w:rPr>
                <w:rFonts w:ascii="华文中宋" w:hAnsi="华文中宋" w:eastAsia="华文中宋"/>
                <w:color w:val="000000"/>
                <w:sz w:val="28"/>
              </w:rPr>
            </w:pPr>
          </w:p>
        </w:tc>
        <w:tc>
          <w:tcPr>
            <w:tcW w:w="955" w:type="dxa"/>
            <w:gridSpan w:val="3"/>
            <w:vMerge w:val="continue"/>
            <w:vAlign w:val="center"/>
          </w:tcPr>
          <w:p w14:paraId="009A05DF">
            <w:pPr>
              <w:widowControl/>
              <w:spacing w:line="300" w:lineRule="exact"/>
              <w:jc w:val="left"/>
              <w:rPr>
                <w:rFonts w:ascii="仿宋" w:hAnsi="仿宋" w:eastAsia="仿宋" w:cs="仿宋"/>
                <w:color w:val="000000"/>
                <w:sz w:val="21"/>
                <w:szCs w:val="21"/>
              </w:rPr>
            </w:pPr>
          </w:p>
        </w:tc>
        <w:tc>
          <w:tcPr>
            <w:tcW w:w="412" w:type="dxa"/>
            <w:vAlign w:val="center"/>
          </w:tcPr>
          <w:p w14:paraId="3C7223EE">
            <w:pPr>
              <w:spacing w:line="300" w:lineRule="exact"/>
              <w:rPr>
                <w:rFonts w:ascii="仿宋" w:hAnsi="仿宋" w:eastAsia="仿宋" w:cs="仿宋"/>
                <w:color w:val="000000"/>
                <w:sz w:val="21"/>
                <w:szCs w:val="21"/>
              </w:rPr>
            </w:pPr>
            <w:r>
              <w:rPr>
                <w:rFonts w:ascii="仿宋" w:hAnsi="仿宋" w:eastAsia="仿宋" w:cs="仿宋"/>
                <w:color w:val="000000"/>
                <w:sz w:val="21"/>
                <w:szCs w:val="21"/>
              </w:rPr>
              <w:t>2</w:t>
            </w:r>
          </w:p>
        </w:tc>
        <w:tc>
          <w:tcPr>
            <w:tcW w:w="7257" w:type="dxa"/>
            <w:gridSpan w:val="18"/>
            <w:vAlign w:val="center"/>
          </w:tcPr>
          <w:p w14:paraId="72AAAB59">
            <w:pPr>
              <w:spacing w:line="300" w:lineRule="exact"/>
              <w:rPr>
                <w:rFonts w:ascii="仿宋" w:hAnsi="仿宋" w:eastAsia="仿宋"/>
                <w:color w:val="000000"/>
                <w:sz w:val="21"/>
                <w:szCs w:val="21"/>
              </w:rPr>
            </w:pPr>
            <w:r>
              <w:rPr>
                <w:rFonts w:ascii="仿宋" w:hAnsi="仿宋" w:eastAsia="仿宋"/>
                <w:color w:val="000000"/>
                <w:sz w:val="21"/>
                <w:szCs w:val="21"/>
              </w:rPr>
              <w:t xml:space="preserve">    </w:t>
            </w:r>
          </w:p>
        </w:tc>
      </w:tr>
      <w:tr w14:paraId="0606B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exact"/>
          <w:jc w:val="center"/>
        </w:trPr>
        <w:tc>
          <w:tcPr>
            <w:tcW w:w="684" w:type="dxa"/>
            <w:vMerge w:val="continue"/>
            <w:vAlign w:val="center"/>
          </w:tcPr>
          <w:p w14:paraId="4B1F6323">
            <w:pPr>
              <w:widowControl/>
              <w:spacing w:line="300" w:lineRule="exact"/>
              <w:jc w:val="left"/>
              <w:rPr>
                <w:rFonts w:ascii="华文中宋" w:hAnsi="华文中宋" w:eastAsia="华文中宋"/>
                <w:color w:val="000000"/>
                <w:sz w:val="28"/>
              </w:rPr>
            </w:pPr>
          </w:p>
        </w:tc>
        <w:tc>
          <w:tcPr>
            <w:tcW w:w="2457" w:type="dxa"/>
            <w:gridSpan w:val="6"/>
            <w:vAlign w:val="center"/>
          </w:tcPr>
          <w:p w14:paraId="6759B768">
            <w:pPr>
              <w:spacing w:line="300" w:lineRule="exact"/>
              <w:rPr>
                <w:rFonts w:ascii="仿宋" w:hAnsi="仿宋" w:eastAsia="仿宋"/>
                <w:color w:val="000000"/>
                <w:sz w:val="21"/>
                <w:szCs w:val="21"/>
              </w:rPr>
            </w:pPr>
            <w:r>
              <w:rPr>
                <w:rFonts w:hint="eastAsia" w:ascii="仿宋" w:hAnsi="仿宋" w:eastAsia="仿宋" w:cs="仿宋"/>
                <w:color w:val="000000"/>
                <w:sz w:val="21"/>
                <w:szCs w:val="21"/>
              </w:rPr>
              <w:t>阅读量（浏览量、点击量）</w:t>
            </w:r>
          </w:p>
        </w:tc>
        <w:tc>
          <w:tcPr>
            <w:tcW w:w="1370" w:type="dxa"/>
            <w:gridSpan w:val="3"/>
            <w:vAlign w:val="center"/>
          </w:tcPr>
          <w:p w14:paraId="2755656A">
            <w:pPr>
              <w:spacing w:line="300" w:lineRule="exact"/>
              <w:rPr>
                <w:rFonts w:ascii="仿宋" w:hAnsi="仿宋" w:eastAsia="仿宋"/>
                <w:color w:val="000000"/>
                <w:sz w:val="21"/>
                <w:szCs w:val="21"/>
              </w:rPr>
            </w:pPr>
            <w:r>
              <w:rPr>
                <w:rFonts w:ascii="仿宋" w:hAnsi="仿宋" w:eastAsia="仿宋"/>
                <w:color w:val="000000"/>
                <w:sz w:val="21"/>
                <w:szCs w:val="21"/>
              </w:rPr>
              <w:t>10</w:t>
            </w:r>
            <w:r>
              <w:rPr>
                <w:rFonts w:hint="eastAsia" w:ascii="仿宋" w:hAnsi="仿宋" w:eastAsia="仿宋"/>
                <w:color w:val="000000"/>
                <w:sz w:val="21"/>
                <w:szCs w:val="21"/>
              </w:rPr>
              <w:t>万</w:t>
            </w:r>
            <w:r>
              <w:rPr>
                <w:rFonts w:ascii="仿宋" w:hAnsi="仿宋" w:eastAsia="仿宋"/>
                <w:color w:val="000000"/>
                <w:sz w:val="21"/>
                <w:szCs w:val="21"/>
              </w:rPr>
              <w:t>+</w:t>
            </w:r>
          </w:p>
        </w:tc>
        <w:tc>
          <w:tcPr>
            <w:tcW w:w="959" w:type="dxa"/>
            <w:gridSpan w:val="4"/>
            <w:vAlign w:val="center"/>
          </w:tcPr>
          <w:p w14:paraId="7DDFA27F">
            <w:pPr>
              <w:spacing w:line="300" w:lineRule="exact"/>
              <w:rPr>
                <w:rFonts w:ascii="仿宋" w:hAnsi="仿宋" w:eastAsia="仿宋"/>
                <w:color w:val="000000"/>
                <w:sz w:val="21"/>
                <w:szCs w:val="21"/>
              </w:rPr>
            </w:pPr>
            <w:r>
              <w:rPr>
                <w:rFonts w:hint="eastAsia" w:ascii="仿宋" w:hAnsi="仿宋" w:eastAsia="仿宋" w:cs="仿宋"/>
                <w:color w:val="000000"/>
                <w:sz w:val="21"/>
                <w:szCs w:val="21"/>
              </w:rPr>
              <w:t>转载量</w:t>
            </w:r>
          </w:p>
        </w:tc>
        <w:tc>
          <w:tcPr>
            <w:tcW w:w="1373" w:type="dxa"/>
            <w:gridSpan w:val="5"/>
            <w:vAlign w:val="center"/>
          </w:tcPr>
          <w:p w14:paraId="540A943E">
            <w:pPr>
              <w:spacing w:line="300" w:lineRule="exact"/>
              <w:rPr>
                <w:rFonts w:ascii="仿宋" w:hAnsi="仿宋" w:eastAsia="仿宋"/>
                <w:color w:val="000000"/>
                <w:sz w:val="21"/>
                <w:szCs w:val="21"/>
              </w:rPr>
            </w:pPr>
            <w:r>
              <w:rPr>
                <w:rFonts w:ascii="仿宋" w:hAnsi="仿宋" w:eastAsia="仿宋"/>
                <w:color w:val="000000"/>
                <w:sz w:val="21"/>
                <w:szCs w:val="21"/>
              </w:rPr>
              <w:t>254</w:t>
            </w:r>
          </w:p>
        </w:tc>
        <w:tc>
          <w:tcPr>
            <w:tcW w:w="959" w:type="dxa"/>
            <w:gridSpan w:val="2"/>
            <w:vAlign w:val="center"/>
          </w:tcPr>
          <w:p w14:paraId="0FEC793F">
            <w:pPr>
              <w:spacing w:line="300" w:lineRule="exact"/>
              <w:rPr>
                <w:rFonts w:ascii="仿宋" w:hAnsi="仿宋" w:eastAsia="仿宋"/>
                <w:color w:val="000000"/>
                <w:sz w:val="21"/>
                <w:szCs w:val="21"/>
              </w:rPr>
            </w:pPr>
            <w:r>
              <w:rPr>
                <w:rFonts w:hint="eastAsia" w:ascii="仿宋" w:hAnsi="仿宋" w:eastAsia="仿宋" w:cs="仿宋"/>
                <w:color w:val="000000"/>
                <w:sz w:val="21"/>
                <w:szCs w:val="21"/>
              </w:rPr>
              <w:t>互动量</w:t>
            </w:r>
          </w:p>
        </w:tc>
        <w:tc>
          <w:tcPr>
            <w:tcW w:w="1506" w:type="dxa"/>
            <w:gridSpan w:val="2"/>
            <w:vAlign w:val="center"/>
          </w:tcPr>
          <w:p w14:paraId="7BC4BA6E">
            <w:pPr>
              <w:spacing w:line="300" w:lineRule="exact"/>
              <w:rPr>
                <w:rFonts w:ascii="仿宋" w:hAnsi="仿宋" w:eastAsia="仿宋"/>
                <w:color w:val="000000"/>
                <w:sz w:val="21"/>
                <w:szCs w:val="21"/>
              </w:rPr>
            </w:pPr>
            <w:r>
              <w:rPr>
                <w:rFonts w:ascii="仿宋" w:hAnsi="仿宋" w:eastAsia="仿宋"/>
                <w:color w:val="000000"/>
                <w:sz w:val="21"/>
                <w:szCs w:val="21"/>
              </w:rPr>
              <w:t>13</w:t>
            </w:r>
          </w:p>
        </w:tc>
      </w:tr>
      <w:tr w14:paraId="3CE4A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9" w:hRule="exact"/>
          <w:jc w:val="center"/>
        </w:trPr>
        <w:tc>
          <w:tcPr>
            <w:tcW w:w="1395" w:type="dxa"/>
            <w:gridSpan w:val="3"/>
            <w:vAlign w:val="center"/>
          </w:tcPr>
          <w:p w14:paraId="4C2C4AB7">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推荐理由</w:t>
            </w:r>
          </w:p>
        </w:tc>
        <w:tc>
          <w:tcPr>
            <w:tcW w:w="7913" w:type="dxa"/>
            <w:gridSpan w:val="20"/>
            <w:vAlign w:val="center"/>
          </w:tcPr>
          <w:p w14:paraId="55816465">
            <w:pPr>
              <w:keepNext w:val="0"/>
              <w:keepLines w:val="0"/>
              <w:pageBreakBefore w:val="0"/>
              <w:widowControl w:val="0"/>
              <w:kinsoku/>
              <w:wordWrap/>
              <w:overflowPunct/>
              <w:topLinePunct w:val="0"/>
              <w:autoSpaceDE/>
              <w:autoSpaceDN/>
              <w:bidi w:val="0"/>
              <w:adjustRightInd/>
              <w:snapToGrid/>
              <w:spacing w:line="320" w:lineRule="exact"/>
              <w:ind w:firstLine="416" w:firstLineChars="200"/>
              <w:textAlignment w:val="auto"/>
              <w:rPr>
                <w:rFonts w:hint="eastAsia" w:ascii="仿宋" w:hAnsi="仿宋" w:eastAsia="仿宋"/>
                <w:color w:val="000000"/>
                <w:sz w:val="21"/>
                <w:szCs w:val="21"/>
              </w:rPr>
            </w:pPr>
            <w:r>
              <w:rPr>
                <w:rFonts w:hint="eastAsia" w:ascii="仿宋" w:hAnsi="仿宋" w:eastAsia="仿宋"/>
                <w:color w:val="000000"/>
                <w:sz w:val="21"/>
                <w:szCs w:val="21"/>
              </w:rPr>
              <w:t>本文紧扣时代脉搏，聚焦“数字化转型”这一高质量发展核心议题，选取“传统工业城市</w:t>
            </w:r>
            <w:r>
              <w:rPr>
                <w:rFonts w:ascii="仿宋" w:hAnsi="仿宋" w:eastAsia="仿宋"/>
                <w:color w:val="000000"/>
                <w:sz w:val="21"/>
                <w:szCs w:val="21"/>
              </w:rPr>
              <w:t>+</w:t>
            </w:r>
            <w:r>
              <w:rPr>
                <w:rFonts w:hint="eastAsia" w:ascii="仿宋" w:hAnsi="仿宋" w:eastAsia="仿宋"/>
                <w:color w:val="000000"/>
                <w:sz w:val="21"/>
                <w:szCs w:val="21"/>
              </w:rPr>
              <w:t>中小城市”的双重典型样本，以小见大反映制造业“智变”趋势，文中提炼的“精准路线定制</w:t>
            </w:r>
            <w:r>
              <w:rPr>
                <w:rFonts w:ascii="仿宋" w:hAnsi="仿宋" w:eastAsia="仿宋"/>
                <w:color w:val="000000"/>
                <w:sz w:val="21"/>
                <w:szCs w:val="21"/>
              </w:rPr>
              <w:t>+</w:t>
            </w:r>
            <w:r>
              <w:rPr>
                <w:rFonts w:hint="eastAsia" w:ascii="仿宋" w:hAnsi="仿宋" w:eastAsia="仿宋"/>
                <w:color w:val="000000"/>
                <w:sz w:val="21"/>
                <w:szCs w:val="21"/>
              </w:rPr>
              <w:t>专业服务配置</w:t>
            </w:r>
            <w:r>
              <w:rPr>
                <w:rFonts w:ascii="仿宋" w:hAnsi="仿宋" w:eastAsia="仿宋"/>
                <w:color w:val="000000"/>
                <w:sz w:val="21"/>
                <w:szCs w:val="21"/>
              </w:rPr>
              <w:t>+</w:t>
            </w:r>
            <w:r>
              <w:rPr>
                <w:rFonts w:hint="eastAsia" w:ascii="仿宋" w:hAnsi="仿宋" w:eastAsia="仿宋"/>
                <w:color w:val="000000"/>
                <w:sz w:val="21"/>
                <w:szCs w:val="21"/>
              </w:rPr>
              <w:t>协同生态培育”三维转型体系，解决了传统产业数字化转型中的共性难题。题材兼具时代性与代表性，社会推广意义显著，对区域经济转型研究具有重要价值。稿件同时在《当代江西》公众号上发表，点击量</w:t>
            </w:r>
            <w:r>
              <w:rPr>
                <w:rFonts w:ascii="仿宋" w:hAnsi="仿宋" w:eastAsia="仿宋"/>
                <w:color w:val="000000"/>
                <w:sz w:val="21"/>
                <w:szCs w:val="21"/>
              </w:rPr>
              <w:t>10</w:t>
            </w:r>
            <w:r>
              <w:rPr>
                <w:rFonts w:hint="eastAsia" w:ascii="仿宋" w:hAnsi="仿宋" w:eastAsia="仿宋"/>
                <w:color w:val="000000"/>
                <w:sz w:val="21"/>
                <w:szCs w:val="21"/>
              </w:rPr>
              <w:t>万</w:t>
            </w:r>
            <w:r>
              <w:rPr>
                <w:rFonts w:ascii="仿宋" w:hAnsi="仿宋" w:eastAsia="仿宋"/>
                <w:color w:val="000000"/>
                <w:sz w:val="21"/>
                <w:szCs w:val="21"/>
              </w:rPr>
              <w:t>+</w:t>
            </w:r>
            <w:r>
              <w:rPr>
                <w:rFonts w:hint="eastAsia" w:ascii="仿宋" w:hAnsi="仿宋" w:eastAsia="仿宋"/>
                <w:color w:val="000000"/>
                <w:sz w:val="21"/>
                <w:szCs w:val="21"/>
              </w:rPr>
              <w:t>。</w:t>
            </w:r>
          </w:p>
          <w:p w14:paraId="457DEF14">
            <w:pPr>
              <w:keepNext w:val="0"/>
              <w:keepLines w:val="0"/>
              <w:pageBreakBefore w:val="0"/>
              <w:widowControl w:val="0"/>
              <w:kinsoku/>
              <w:wordWrap/>
              <w:overflowPunct/>
              <w:topLinePunct w:val="0"/>
              <w:autoSpaceDE/>
              <w:autoSpaceDN/>
              <w:bidi w:val="0"/>
              <w:adjustRightInd/>
              <w:snapToGrid/>
              <w:spacing w:line="320" w:lineRule="exact"/>
              <w:ind w:firstLine="416" w:firstLineChars="200"/>
              <w:textAlignment w:val="auto"/>
              <w:rPr>
                <w:rFonts w:hint="eastAsia" w:ascii="仿宋" w:hAnsi="仿宋" w:eastAsia="仿宋"/>
                <w:color w:val="000000"/>
                <w:sz w:val="21"/>
                <w:szCs w:val="21"/>
              </w:rPr>
            </w:pPr>
          </w:p>
          <w:p w14:paraId="7F66689D">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 w:hAnsi="仿宋" w:eastAsia="仿宋"/>
                <w:color w:val="000000"/>
                <w:sz w:val="21"/>
                <w:szCs w:val="21"/>
              </w:rPr>
            </w:pPr>
            <w:r>
              <w:rPr>
                <w:rFonts w:ascii="仿宋" w:hAnsi="仿宋" w:eastAsia="仿宋"/>
                <w:color w:val="000000"/>
                <w:spacing w:val="-2"/>
                <w:szCs w:val="21"/>
              </w:rPr>
              <w:t xml:space="preserve">            </w:t>
            </w:r>
            <w:r>
              <w:rPr>
                <w:rFonts w:hint="eastAsia" w:ascii="仿宋" w:hAnsi="仿宋" w:eastAsia="仿宋"/>
                <w:color w:val="000000"/>
                <w:spacing w:val="-2"/>
                <w:sz w:val="21"/>
                <w:szCs w:val="21"/>
              </w:rPr>
              <w:t>单位主要负责人签名：</w:t>
            </w:r>
            <w:r>
              <w:rPr>
                <w:rFonts w:hint="eastAsia" w:ascii="仿宋" w:hAnsi="仿宋" w:eastAsia="仿宋"/>
                <w:color w:val="000000"/>
                <w:spacing w:val="-2"/>
                <w:sz w:val="21"/>
                <w:szCs w:val="21"/>
                <w:lang w:val="en-US" w:eastAsia="zh-CN"/>
              </w:rPr>
              <w:t xml:space="preserve">                       </w:t>
            </w:r>
            <w:r>
              <w:rPr>
                <w:rFonts w:hint="eastAsia" w:ascii="仿宋" w:hAnsi="仿宋" w:eastAsia="仿宋"/>
                <w:color w:val="000000"/>
                <w:sz w:val="21"/>
                <w:szCs w:val="21"/>
              </w:rPr>
              <w:t>（盖单位公章）</w:t>
            </w:r>
          </w:p>
          <w:p w14:paraId="658FE4DA">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 w:hAnsi="仿宋" w:eastAsia="仿宋"/>
                <w:color w:val="000000"/>
                <w:szCs w:val="21"/>
              </w:rPr>
            </w:pPr>
            <w:r>
              <w:rPr>
                <w:rFonts w:ascii="仿宋" w:hAnsi="仿宋" w:eastAsia="仿宋"/>
                <w:color w:val="000000"/>
                <w:sz w:val="21"/>
                <w:szCs w:val="21"/>
              </w:rPr>
              <w:t xml:space="preserve">                                         </w:t>
            </w:r>
            <w:r>
              <w:rPr>
                <w:rFonts w:hint="eastAsia" w:ascii="仿宋" w:hAnsi="仿宋" w:eastAsia="仿宋"/>
                <w:color w:val="000000"/>
                <w:sz w:val="21"/>
                <w:szCs w:val="21"/>
                <w:lang w:val="en-US" w:eastAsia="zh-CN"/>
              </w:rPr>
              <w:t xml:space="preserve">              </w:t>
            </w:r>
            <w:r>
              <w:rPr>
                <w:rFonts w:ascii="仿宋" w:hAnsi="仿宋" w:eastAsia="仿宋"/>
                <w:color w:val="000000"/>
                <w:sz w:val="21"/>
                <w:szCs w:val="21"/>
              </w:rPr>
              <w:t xml:space="preserve"> </w:t>
            </w:r>
            <w:r>
              <w:rPr>
                <w:rFonts w:hint="eastAsia" w:ascii="仿宋" w:hAnsi="仿宋" w:eastAsia="仿宋"/>
                <w:color w:val="000000"/>
                <w:sz w:val="21"/>
                <w:szCs w:val="21"/>
                <w:lang w:val="en-US" w:eastAsia="zh-CN"/>
              </w:rPr>
              <w:t>2026</w:t>
            </w:r>
            <w:r>
              <w:rPr>
                <w:rFonts w:hint="eastAsia" w:ascii="仿宋" w:hAnsi="仿宋" w:eastAsia="仿宋"/>
                <w:color w:val="000000"/>
                <w:sz w:val="21"/>
                <w:szCs w:val="21"/>
              </w:rPr>
              <w:t>年</w:t>
            </w:r>
            <w:r>
              <w:rPr>
                <w:rFonts w:ascii="仿宋" w:hAnsi="仿宋" w:eastAsia="仿宋"/>
                <w:color w:val="000000"/>
                <w:sz w:val="21"/>
                <w:szCs w:val="21"/>
              </w:rPr>
              <w:t xml:space="preserve"> </w:t>
            </w:r>
            <w:r>
              <w:rPr>
                <w:rFonts w:hint="eastAsia" w:ascii="仿宋" w:hAnsi="仿宋" w:eastAsia="仿宋"/>
                <w:color w:val="000000"/>
                <w:sz w:val="21"/>
                <w:szCs w:val="21"/>
                <w:lang w:val="en-US" w:eastAsia="zh-CN"/>
              </w:rPr>
              <w:t>1</w:t>
            </w:r>
            <w:r>
              <w:rPr>
                <w:rFonts w:ascii="仿宋" w:hAnsi="仿宋" w:eastAsia="仿宋"/>
                <w:color w:val="000000"/>
                <w:sz w:val="21"/>
                <w:szCs w:val="21"/>
              </w:rPr>
              <w:t xml:space="preserve"> </w:t>
            </w:r>
            <w:r>
              <w:rPr>
                <w:rFonts w:hint="eastAsia" w:ascii="仿宋" w:hAnsi="仿宋" w:eastAsia="仿宋"/>
                <w:color w:val="000000"/>
                <w:sz w:val="21"/>
                <w:szCs w:val="21"/>
              </w:rPr>
              <w:t>月</w:t>
            </w:r>
            <w:r>
              <w:rPr>
                <w:rFonts w:hint="eastAsia" w:ascii="仿宋" w:hAnsi="仿宋" w:eastAsia="仿宋"/>
                <w:color w:val="000000"/>
                <w:sz w:val="21"/>
                <w:szCs w:val="21"/>
                <w:lang w:val="en-US" w:eastAsia="zh-CN"/>
              </w:rPr>
              <w:t>5</w:t>
            </w:r>
            <w:r>
              <w:rPr>
                <w:rFonts w:hint="eastAsia" w:ascii="仿宋" w:hAnsi="仿宋" w:eastAsia="仿宋"/>
                <w:color w:val="000000"/>
                <w:sz w:val="21"/>
                <w:szCs w:val="21"/>
              </w:rPr>
              <w:t>日</w:t>
            </w:r>
          </w:p>
        </w:tc>
      </w:tr>
      <w:tr w14:paraId="29EC2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exact"/>
          <w:jc w:val="center"/>
        </w:trPr>
        <w:tc>
          <w:tcPr>
            <w:tcW w:w="956" w:type="dxa"/>
            <w:gridSpan w:val="2"/>
            <w:vAlign w:val="center"/>
          </w:tcPr>
          <w:p w14:paraId="33CD5B05">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作者</w:t>
            </w:r>
          </w:p>
        </w:tc>
        <w:tc>
          <w:tcPr>
            <w:tcW w:w="2619" w:type="dxa"/>
            <w:gridSpan w:val="6"/>
            <w:vAlign w:val="center"/>
          </w:tcPr>
          <w:p w14:paraId="3D36F65E">
            <w:pPr>
              <w:spacing w:line="300" w:lineRule="exact"/>
              <w:rPr>
                <w:rFonts w:ascii="仿宋" w:hAnsi="仿宋" w:eastAsia="仿宋"/>
                <w:color w:val="000000"/>
                <w:sz w:val="32"/>
                <w:szCs w:val="21"/>
              </w:rPr>
            </w:pPr>
            <w:r>
              <w:rPr>
                <w:rFonts w:hint="eastAsia" w:ascii="仿宋" w:hAnsi="仿宋" w:eastAsia="仿宋"/>
                <w:color w:val="000000"/>
                <w:sz w:val="21"/>
                <w:szCs w:val="21"/>
              </w:rPr>
              <w:t>周乐丰</w:t>
            </w:r>
          </w:p>
        </w:tc>
        <w:tc>
          <w:tcPr>
            <w:tcW w:w="1160" w:type="dxa"/>
            <w:gridSpan w:val="3"/>
            <w:vAlign w:val="center"/>
          </w:tcPr>
          <w:p w14:paraId="66BFCAA0">
            <w:pPr>
              <w:spacing w:line="300" w:lineRule="exact"/>
              <w:rPr>
                <w:rFonts w:ascii="仿宋" w:hAnsi="仿宋" w:eastAsia="仿宋"/>
                <w:color w:val="000000"/>
                <w:sz w:val="32"/>
                <w:szCs w:val="21"/>
              </w:rPr>
            </w:pPr>
            <w:r>
              <w:rPr>
                <w:rFonts w:hint="eastAsia" w:ascii="华文中宋" w:hAnsi="华文中宋" w:eastAsia="华文中宋"/>
                <w:color w:val="000000"/>
                <w:sz w:val="28"/>
              </w:rPr>
              <w:t>手机</w:t>
            </w:r>
          </w:p>
        </w:tc>
        <w:tc>
          <w:tcPr>
            <w:tcW w:w="4573" w:type="dxa"/>
            <w:gridSpan w:val="12"/>
            <w:vAlign w:val="center"/>
          </w:tcPr>
          <w:p w14:paraId="23BDAA4B">
            <w:pPr>
              <w:spacing w:line="300" w:lineRule="exact"/>
              <w:rPr>
                <w:rFonts w:ascii="仿宋" w:hAnsi="仿宋" w:eastAsia="仿宋"/>
                <w:color w:val="000000"/>
                <w:szCs w:val="21"/>
              </w:rPr>
            </w:pPr>
            <w:r>
              <w:rPr>
                <w:rFonts w:ascii="仿宋" w:hAnsi="仿宋" w:eastAsia="仿宋"/>
                <w:color w:val="000000"/>
                <w:sz w:val="21"/>
                <w:szCs w:val="21"/>
              </w:rPr>
              <w:t>18170167008</w:t>
            </w:r>
          </w:p>
        </w:tc>
      </w:tr>
    </w:tbl>
    <w:p w14:paraId="33FDA225">
      <w:pPr>
        <w:spacing w:line="300" w:lineRule="exact"/>
      </w:pPr>
    </w:p>
    <w:p w14:paraId="6B459F87">
      <w:pPr>
        <w:spacing w:line="300" w:lineRule="exact"/>
      </w:pPr>
    </w:p>
    <w:p w14:paraId="2924174A">
      <w:pPr>
        <w:jc w:val="center"/>
        <w:rPr>
          <w:rFonts w:ascii="宋体" w:eastAsia="宋体"/>
          <w:b/>
          <w:sz w:val="32"/>
          <w:szCs w:val="32"/>
        </w:rPr>
      </w:pPr>
      <w:r>
        <w:pict>
          <v:shape id="_x0000_i1025" o:spt="75" type="#_x0000_t75" style="height:548.25pt;width:410.25pt;" filled="f" o:preferrelative="t" stroked="f" coordsize="21600,21600">
            <v:path/>
            <v:fill on="f" focussize="0,0"/>
            <v:stroke on="f" joinstyle="miter"/>
            <v:imagedata r:id="rId4" o:title=""/>
            <o:lock v:ext="edit" aspectratio="t"/>
            <w10:wrap type="none"/>
            <w10:anchorlock/>
          </v:shape>
        </w:pict>
      </w:r>
      <w:r>
        <w:rPr>
          <w:rFonts w:ascii="宋体" w:hAnsi="宋体"/>
          <w:b/>
          <w:sz w:val="32"/>
          <w:szCs w:val="32"/>
        </w:rPr>
        <w:t xml:space="preserve"> </w:t>
      </w:r>
    </w:p>
    <w:p w14:paraId="1B05088E">
      <w:pPr>
        <w:jc w:val="center"/>
        <w:rPr>
          <w:rFonts w:hint="eastAsia" w:ascii="宋体" w:eastAsia="宋体"/>
          <w:b/>
          <w:sz w:val="32"/>
          <w:szCs w:val="32"/>
        </w:rPr>
        <w:sectPr>
          <w:pgSz w:w="11906" w:h="16838"/>
          <w:pgMar w:top="1440" w:right="1797" w:bottom="1440" w:left="1797" w:header="851" w:footer="992" w:gutter="0"/>
          <w:cols w:space="0" w:num="1"/>
          <w:rtlGutter w:val="0"/>
          <w:docGrid w:type="linesAndChars" w:linePitch="428" w:charSpace="-601"/>
        </w:sectPr>
      </w:pPr>
    </w:p>
    <w:p w14:paraId="4EBDEF3A">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CESI仿宋-GB2312"/>
          <w:sz w:val="28"/>
          <w:szCs w:val="28"/>
          <w:lang w:val="en-US" w:eastAsia="zh-CN"/>
        </w:rPr>
      </w:pPr>
      <w:r>
        <w:rPr>
          <w:rFonts w:hint="eastAsia" w:ascii="仿宋" w:hAnsi="仿宋" w:eastAsia="仿宋" w:cs="CESI仿宋-GB2312"/>
          <w:sz w:val="28"/>
          <w:szCs w:val="28"/>
          <w:lang w:val="en-US" w:eastAsia="zh-CN"/>
        </w:rPr>
        <w:t>通讯</w:t>
      </w:r>
    </w:p>
    <w:p w14:paraId="6CECD622">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CESI仿宋-GB2312"/>
          <w:sz w:val="28"/>
          <w:szCs w:val="28"/>
          <w:lang w:val="en-US" w:eastAsia="zh-CN"/>
        </w:rPr>
      </w:pPr>
    </w:p>
    <w:p w14:paraId="0271F7DF">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“世界铜都”的数字“算法”</w:t>
      </w:r>
    </w:p>
    <w:p w14:paraId="5F545297">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CESI仿宋-GB2312"/>
          <w:kern w:val="2"/>
          <w:sz w:val="24"/>
          <w:szCs w:val="24"/>
          <w:lang w:val="en-US" w:eastAsia="zh-CN" w:bidi="ar-SA"/>
        </w:rPr>
      </w:pPr>
      <w:r>
        <w:rPr>
          <w:rFonts w:hint="eastAsia" w:ascii="仿宋" w:hAnsi="仿宋" w:eastAsia="仿宋" w:cs="CESI仿宋-GB2312"/>
          <w:kern w:val="2"/>
          <w:sz w:val="24"/>
          <w:szCs w:val="24"/>
          <w:lang w:val="en-US" w:eastAsia="zh-CN" w:bidi="ar-SA"/>
        </w:rPr>
        <w:t>作者：周乐丰、张俊娟</w:t>
      </w:r>
    </w:p>
    <w:p w14:paraId="27EB6317">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CESI仿宋-GB2312"/>
          <w:kern w:val="2"/>
          <w:sz w:val="24"/>
          <w:szCs w:val="24"/>
          <w:lang w:val="en-US" w:eastAsia="zh-CN" w:bidi="ar-SA"/>
        </w:rPr>
      </w:pPr>
      <w:r>
        <w:rPr>
          <w:rFonts w:hint="eastAsia" w:ascii="仿宋" w:hAnsi="仿宋" w:eastAsia="仿宋" w:cs="CESI仿宋-GB2312"/>
          <w:kern w:val="2"/>
          <w:sz w:val="24"/>
          <w:szCs w:val="24"/>
          <w:lang w:val="en-US" w:eastAsia="zh-CN" w:bidi="ar-SA"/>
        </w:rPr>
        <w:t>编辑：王晓明、冯晓丹、张丽琴</w:t>
      </w:r>
    </w:p>
    <w:p w14:paraId="202D460F">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CESI仿宋-GB2312"/>
          <w:kern w:val="2"/>
          <w:sz w:val="28"/>
          <w:szCs w:val="28"/>
          <w:lang w:val="en-US" w:eastAsia="zh-CN" w:bidi="ar-SA"/>
        </w:rPr>
      </w:pPr>
    </w:p>
    <w:p w14:paraId="3CC161BE">
      <w:pPr>
        <w:keepNext w:val="0"/>
        <w:keepLines w:val="0"/>
        <w:pageBreakBefore w:val="0"/>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日前，江西省工信厅公布了2025年度全省先进级智能工厂名单，鹰潭23家企业上榜，数量居全省第一。面积只有3560平方公里、常住人口仅114.5万的“小市”鹰潭，已经不是第一次在全省经济主战场上勇夺“第一”了。</w:t>
      </w:r>
    </w:p>
    <w:p w14:paraId="644569D9">
      <w:pPr>
        <w:keepNext w:val="0"/>
        <w:keepLines w:val="0"/>
        <w:pageBreakBefore w:val="0"/>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鹰潭为何拥有这么多先进级智能工厂？从一组数据中可以窥知一二。2024年，鹰潭技改投资增长20%左右，连续3年居全省前列，78.5%的规上工业企业开展数字化转型。在数字化转型的有力支撑下，今年1-6月，鹰潭全市规模以上工业增加值累计同比增长11.7%，居全省第二。</w:t>
      </w:r>
    </w:p>
    <w:p w14:paraId="1E8EE0C3">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CESI仿宋-GB2312"/>
          <w:b/>
          <w:bCs/>
          <w:kern w:val="2"/>
          <w:sz w:val="28"/>
          <w:szCs w:val="28"/>
          <w:lang w:val="en-US" w:eastAsia="zh-CN" w:bidi="ar-SA"/>
        </w:rPr>
      </w:pPr>
      <w:r>
        <w:rPr>
          <w:rFonts w:hint="eastAsia" w:ascii="仿宋" w:hAnsi="仿宋" w:eastAsia="仿宋" w:cs="CESI仿宋-GB2312"/>
          <w:b/>
          <w:bCs/>
          <w:kern w:val="2"/>
          <w:sz w:val="28"/>
          <w:szCs w:val="28"/>
          <w:lang w:val="en-US" w:eastAsia="zh-CN" w:bidi="ar-SA"/>
        </w:rPr>
        <w:t>定制精准化“数转”路线</w:t>
      </w:r>
    </w:p>
    <w:p w14:paraId="2A806991">
      <w:pPr>
        <w:keepNext w:val="0"/>
        <w:keepLines w:val="0"/>
        <w:pageBreakBefore w:val="0"/>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走进鹰潭市钲旺科技有限公司智能拉丝车间，80余台智能拉丝机高速运转，机械手臂将装满铜线的铁盘搬运到货架上，再通过AGV小车转运至智能退火车间，实现两个车间智能连接。2023年到2024年，该公司先后投入5000余万元实施数字化改造，引入AI智能运算技术进行全流程优化，有效打通了设备、生产、管理之间的流程和数据壁垒。</w:t>
      </w:r>
    </w:p>
    <w:p w14:paraId="08DCA92A">
      <w:pPr>
        <w:keepNext w:val="0"/>
        <w:keepLines w:val="0"/>
        <w:pageBreakBefore w:val="0"/>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针对铜加工行业招工难、能耗高、品控不稳定的痛点，我们跨行业整合技术，打造了细分领域全国首条智能拉丝生产线；二期改造实施后，又配置了ERP、MES等系统，搭建智能仓储体系，实现了设备自动化、生产智能化、管理数字化。”该公司董事长王凯说。改造后，该公司产品良品率从92%提高到98%，每吨综合成本降低近千元，企业年营收从2021年的不到1亿元，提升至2024年的7亿余元。</w:t>
      </w:r>
    </w:p>
    <w:p w14:paraId="066BA6FA">
      <w:pPr>
        <w:keepNext w:val="0"/>
        <w:keepLines w:val="0"/>
        <w:pageBreakBefore w:val="0"/>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更为可喜的是，在钲旺科技的带动下，一批本地同行业企业前来学习、取经，并将铜细线工艺中人机协同作业等数字化改造内容，陆续运用到企业生产中，进一步提高生产效率。与钲旺科技合作的3家智能装备服务商也先后在当地落户，为更多企业提供转型服务。</w:t>
      </w:r>
    </w:p>
    <w:p w14:paraId="6E08223A">
      <w:pPr>
        <w:keepNext w:val="0"/>
        <w:keepLines w:val="0"/>
        <w:pageBreakBefore w:val="0"/>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数字化转型是一项系统工程，靠企业“单打独斗”难以完成。分摊转型投入、缩短回报周期、提升转型信心，都离不开政府真金白银的支持。</w:t>
      </w:r>
    </w:p>
    <w:p w14:paraId="32729B81">
      <w:pPr>
        <w:keepNext w:val="0"/>
        <w:keepLines w:val="0"/>
        <w:pageBreakBefore w:val="0"/>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鹰潭出台数字化转型攻坚方案和16条支持措施，围绕铜基新材料产业集群，率先在龙头企业开展数字化智能化深度改造，打造细分行业标杆，带动上下游复制推广。对全市所有L6级及以上企业实行“一企一策一档”，对达到L3级（含）以上企业，按项目软性投入的30%给予最高30万元奖励，有效解决企业不愿转、不敢转难题。</w:t>
      </w:r>
    </w:p>
    <w:p w14:paraId="26261F1A">
      <w:pPr>
        <w:keepNext w:val="0"/>
        <w:keepLines w:val="0"/>
        <w:pageBreakBefore w:val="0"/>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过去，江西鑫铂瑞科技股份有限公司在铜箔生产过程中存在数据采集分散、难以在线质检、品质溯源难度大等问题。在引入5G智慧工厂解决方案后，该公司实现了生产过程的智能化升级。“产品一致性提升了10%，错检漏检率降低了50%。”该公司常务副总李娟表示。</w:t>
      </w:r>
    </w:p>
    <w:p w14:paraId="49B7FF36">
      <w:pPr>
        <w:keepNext w:val="0"/>
        <w:keepLines w:val="0"/>
        <w:pageBreakBefore w:val="0"/>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数字化转型不能“一个公式算到底”，多样化场景、个性化需求决定了转型路线必须为企业“量体裁衣”。鹰潭分行业制定数字化转型路线图，部署切实管用的数字化产品，推动技术与业务深度融合。截至今年7月底，全市完成入企诊断企业619家，完成数字化改造企业492家。工人在鑫铂瑞科技有限公司车间内查看设备运行情况。</w:t>
      </w:r>
    </w:p>
    <w:p w14:paraId="31856D87">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CESI仿宋-GB2312"/>
          <w:b/>
          <w:bCs/>
          <w:kern w:val="2"/>
          <w:sz w:val="28"/>
          <w:szCs w:val="28"/>
          <w:lang w:val="en-US" w:eastAsia="zh-CN" w:bidi="ar-SA"/>
        </w:rPr>
      </w:pPr>
      <w:r>
        <w:rPr>
          <w:rFonts w:hint="eastAsia" w:ascii="仿宋" w:hAnsi="仿宋" w:eastAsia="仿宋" w:cs="CESI仿宋-GB2312"/>
          <w:b/>
          <w:bCs/>
          <w:kern w:val="2"/>
          <w:sz w:val="28"/>
          <w:szCs w:val="28"/>
          <w:lang w:val="en-US" w:eastAsia="zh-CN" w:bidi="ar-SA"/>
        </w:rPr>
        <w:t>配置专业化“数转”服务</w:t>
      </w:r>
    </w:p>
    <w:p w14:paraId="0B679052">
      <w:pPr>
        <w:keepNext w:val="0"/>
        <w:keepLines w:val="0"/>
        <w:pageBreakBefore w:val="0"/>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企业数字化转型涉及全流程数据整合与流程再造，推进过程中常常面临“懂行业的不懂数字化、懂数字化的不懂行业”这一难题。</w:t>
      </w:r>
    </w:p>
    <w:p w14:paraId="5BDE5CEC">
      <w:pPr>
        <w:keepNext w:val="0"/>
        <w:keepLines w:val="0"/>
        <w:pageBreakBefore w:val="0"/>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改革就是要奔着问题去。鹰潭着力构建企业需求方、数字解决方案提供商、三大运营商等高效对接的数字化转型生态圈，遴选32家数字化转型服务商和48款“小快轻准”数字化服务产品，累计为615家企业开展了数字化深度诊断。</w:t>
      </w:r>
    </w:p>
    <w:p w14:paraId="740A0F49">
      <w:pPr>
        <w:keepNext w:val="0"/>
        <w:keepLines w:val="0"/>
        <w:pageBreakBefore w:val="0"/>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在江西中易微连新材料科技有限公司生产车间，智能质检系统正在安静工作，完成独立排线、自动换盘、激光在线检查、联动自动控制漆膜、自动张力调节等步骤。下线的每一个产品，都有对应的二维码，可以溯源生产过程中的数据和检测数据，精确地定位产生质量问题的原因。</w:t>
      </w:r>
    </w:p>
    <w:p w14:paraId="3E634812">
      <w:pPr>
        <w:keepNext w:val="0"/>
        <w:keepLines w:val="0"/>
        <w:pageBreakBefore w:val="0"/>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由于系统和所有生产设备互联，一旦出现产品质量问题，能精准定位到是某台设备、某个电机、某项指标，使成品率稳定在99.5%以上。”江西中易微连新材料科技有限公司董事长郑克表示，整体数字化智能工厂，突破了传统设备、工艺对生产的限制，使产品实现了进口替代。</w:t>
      </w:r>
    </w:p>
    <w:p w14:paraId="1E280F84">
      <w:pPr>
        <w:keepNext w:val="0"/>
        <w:keepLines w:val="0"/>
        <w:pageBreakBefore w:val="0"/>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然而，数字化改造并非一帆风顺，中易微连也曾面临高投入建成的各数字化应用场景无法全面贯通的窘境。在当地政府的帮助下，企业整合多个行业顶级专业团队，形成了11个应用场景、17个数字化子域、70个行业数字化应用解决方案。郑克介绍，我们还成立了子公司，向数字化服务商转型，为同类企业提供个性化解决方案。</w:t>
      </w:r>
    </w:p>
    <w:p w14:paraId="06810DAE">
      <w:pPr>
        <w:keepNext w:val="0"/>
        <w:keepLines w:val="0"/>
        <w:pageBreakBefore w:val="0"/>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分级管理，分类施策。鹰潭动态建立数字化转型项目库，分地区、分行业组织数字化供需、金融政策对接，建成“诊转一体、转诊结合”的工作体系，同时对改造企业设立阶梯式奖补，对服务商诊断、改造成效实行“赛马制”奖励，为数字化服务商搭建良性竞争生态。江西三川节能股份有限公司车间内的自动化作业。</w:t>
      </w:r>
    </w:p>
    <w:p w14:paraId="4B72E4C0">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CESI仿宋-GB2312"/>
          <w:b/>
          <w:bCs/>
          <w:kern w:val="2"/>
          <w:sz w:val="28"/>
          <w:szCs w:val="28"/>
          <w:lang w:val="en-US" w:eastAsia="zh-CN" w:bidi="ar-SA"/>
        </w:rPr>
      </w:pPr>
      <w:r>
        <w:rPr>
          <w:rFonts w:hint="eastAsia" w:ascii="仿宋" w:hAnsi="仿宋" w:eastAsia="仿宋" w:cs="CESI仿宋-GB2312"/>
          <w:b/>
          <w:bCs/>
          <w:kern w:val="2"/>
          <w:sz w:val="28"/>
          <w:szCs w:val="28"/>
          <w:lang w:val="en-US" w:eastAsia="zh-CN" w:bidi="ar-SA"/>
        </w:rPr>
        <w:t>培育协同化“数转”生态</w:t>
      </w:r>
    </w:p>
    <w:p w14:paraId="1F159608">
      <w:pPr>
        <w:keepNext w:val="0"/>
        <w:keepLines w:val="0"/>
        <w:pageBreakBefore w:val="0"/>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在江西铜产业大脑运营中心数字大屏上，金融服务驾驶舱展示窗口内集纳了供应链金融、转型金融、碳平台数据等内容。“目前，我们打通了节能降碳智慧管理服务平台、能碳双控管理系统双数据通道，形成‘系统对接+企业自主填报’的双源数据采集方式。”鹰潭工控大数据有限公司有关负责人表示。</w:t>
      </w:r>
    </w:p>
    <w:p w14:paraId="0CBFD23D">
      <w:pPr>
        <w:keepNext w:val="0"/>
        <w:keepLines w:val="0"/>
        <w:pageBreakBefore w:val="0"/>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作为江西省首批“揭榜挂帅”的产业大脑，铜产业大脑整合5大应用场景，对接公共服务数据、下游平台数据、权威行业数据等产业与数据资源，构建了以行业工业互联网平台及数据中台为核心的大脑底座，可为企业提供全方位一站式服务。</w:t>
      </w:r>
    </w:p>
    <w:p w14:paraId="1E494E6F">
      <w:pPr>
        <w:keepNext w:val="0"/>
        <w:keepLines w:val="0"/>
        <w:pageBreakBefore w:val="0"/>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“系统经过升级后，各类监测指标、功能模块进一步完善，现在系统可以根据需求进行精准推送。”铜产业大脑有关负责人表示，以金融服务为例，目前平台已接入铜企200余家，协助企业获得贷款近亿元。</w:t>
      </w:r>
    </w:p>
    <w:p w14:paraId="16AF213E">
      <w:pPr>
        <w:keepNext w:val="0"/>
        <w:keepLines w:val="0"/>
        <w:pageBreakBefore w:val="0"/>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2021年，鹰潭市获批建设全国有色行业唯一的工业互联网标识解析二级节点，并以此为核心开发了轻量化SAAS级铜都工业互联网平台，推动企业核心设备和系统上云上平台，全市累计上云企业突破2.4万家，为企业提供轻量级数字化解决方案。鹰潭铜产业大脑在此基础上进一步完善功能，使数字化发挥出对产业发展的放大、叠加、倍增作用。</w:t>
      </w:r>
    </w:p>
    <w:p w14:paraId="55018D1A">
      <w:pPr>
        <w:keepNext w:val="0"/>
        <w:keepLines w:val="0"/>
        <w:pageBreakBefore w:val="0"/>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当前，企业数字化转型日益由单一企业诊断改造走向全体系生态化构建。鹰潭积极构建“数促中心+数字化诊所+数字专员”三级服务体系，加快建设“小快轻准”应用平台、数字化转型水平监测平台等6个专业工业互联网平台，带动更多中小企业实现批量化改造。</w:t>
      </w:r>
    </w:p>
    <w:p w14:paraId="480B6701">
      <w:pPr>
        <w:keepNext w:val="0"/>
        <w:keepLines w:val="0"/>
        <w:pageBreakBefore w:val="0"/>
        <w:kinsoku/>
        <w:wordWrap/>
        <w:overflowPunct/>
        <w:topLinePunct w:val="0"/>
        <w:autoSpaceDE/>
        <w:autoSpaceDN/>
        <w:bidi w:val="0"/>
        <w:adjustRightInd/>
        <w:snapToGrid/>
        <w:spacing w:line="560" w:lineRule="exact"/>
        <w:ind w:firstLine="556" w:firstLineChars="200"/>
        <w:textAlignment w:val="auto"/>
        <w:rPr>
          <w:rFonts w:hint="eastAsia" w:ascii="宋体" w:eastAsia="宋体"/>
          <w:b/>
          <w:sz w:val="32"/>
          <w:szCs w:val="32"/>
        </w:rPr>
      </w:pPr>
      <w:r>
        <w:rPr>
          <w:rFonts w:hint="eastAsia" w:ascii="仿宋" w:hAnsi="仿宋" w:eastAsia="仿宋" w:cs="CESI仿宋-GB2312"/>
          <w:kern w:val="2"/>
          <w:sz w:val="28"/>
          <w:szCs w:val="28"/>
          <w:lang w:val="en-US" w:eastAsia="zh-CN" w:bidi="ar-SA"/>
        </w:rPr>
        <w:t>生态化构建不光要有技术支撑，也离不开资金、智力等要素保障。鹰潭在全省率先创新铜供应链金融模式，以大数据重构企业征信，创设“铜票通”、数智贷、转型票据等金融产品，支持企业产品创新、技术升级、装备迭代。目前，累计为472家企业提供资金826亿元，降低成本2.74亿元。与此同时，推动江西理工大学先进铜产业学院等本地科研机构与铜产业深度对接，开展师资“双兼双聘”，实施订单式人才培养，建设产教联合体、综合性产教融合实践中心……在鹰潭，人才支撑正成为这场数字化转型背后看不见的“关键变量”。</w:t>
      </w:r>
    </w:p>
    <w:sectPr>
      <w:pgSz w:w="11906" w:h="16838"/>
      <w:pgMar w:top="1440" w:right="1797" w:bottom="1440" w:left="1797" w:header="851" w:footer="992" w:gutter="0"/>
      <w:cols w:space="0" w:num="1"/>
      <w:rtlGutter w:val="0"/>
      <w:docGrid w:type="linesAndChars" w:linePitch="428" w:charSpace="-60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swiss"/>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w:altName w:val="华文仿宋"/>
    <w:panose1 w:val="02010600030101010101"/>
    <w:charset w:val="86"/>
    <w:family w:val="auto"/>
    <w:pitch w:val="default"/>
    <w:sig w:usb0="00000000" w:usb1="00000000" w:usb2="00000016" w:usb3="00000000" w:csb0="0004000F" w:csb1="00000000"/>
  </w:font>
  <w:font w:name="华文仿宋">
    <w:panose1 w:val="02010600040101010101"/>
    <w:charset w:val="86"/>
    <w:family w:val="auto"/>
    <w:pitch w:val="default"/>
    <w:sig w:usb0="00000287" w:usb1="080F0000" w:usb2="00000000" w:usb3="00000000" w:csb0="0004009F" w:csb1="DFD7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00000001" w:usb1="080E0800" w:usb2="00000002"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CESI仿宋-GB2312">
    <w:panose1 w:val="02000500000000000000"/>
    <w:charset w:val="86"/>
    <w:family w:val="auto"/>
    <w:pitch w:val="default"/>
    <w:sig w:usb0="800002AF" w:usb1="084F6CF8" w:usb2="00000010" w:usb3="00000000" w:csb0="0004000F" w:csb1="00000000"/>
  </w:font>
  <w:font w:name="方正黑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39"/>
  <w:drawingGridVerticalSpacing w:val="214"/>
  <w:displayHorizontalDrawingGridEvery w:val="2"/>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Tg5MTJiNThlZjQ3NzQxNWJmMjFkMTgzYjE0ZjEwMTUifQ=="/>
  </w:docVars>
  <w:rsids>
    <w:rsidRoot w:val="00926BC2"/>
    <w:rsid w:val="00003DD9"/>
    <w:rsid w:val="00013217"/>
    <w:rsid w:val="00023B11"/>
    <w:rsid w:val="000305E6"/>
    <w:rsid w:val="00034421"/>
    <w:rsid w:val="000C3809"/>
    <w:rsid w:val="000C68FB"/>
    <w:rsid w:val="000E5B8B"/>
    <w:rsid w:val="000E643B"/>
    <w:rsid w:val="00114C5D"/>
    <w:rsid w:val="00123704"/>
    <w:rsid w:val="00133337"/>
    <w:rsid w:val="00133BCD"/>
    <w:rsid w:val="001421C1"/>
    <w:rsid w:val="001440A6"/>
    <w:rsid w:val="00144DF0"/>
    <w:rsid w:val="0019242E"/>
    <w:rsid w:val="001D0E22"/>
    <w:rsid w:val="001F00D1"/>
    <w:rsid w:val="002001CC"/>
    <w:rsid w:val="00223BBC"/>
    <w:rsid w:val="0024458D"/>
    <w:rsid w:val="002606C4"/>
    <w:rsid w:val="0026283A"/>
    <w:rsid w:val="002D2EF9"/>
    <w:rsid w:val="002E0AD9"/>
    <w:rsid w:val="003371B0"/>
    <w:rsid w:val="0034035D"/>
    <w:rsid w:val="00346993"/>
    <w:rsid w:val="00365323"/>
    <w:rsid w:val="00367921"/>
    <w:rsid w:val="00395F8B"/>
    <w:rsid w:val="003A7D88"/>
    <w:rsid w:val="003B19AA"/>
    <w:rsid w:val="00403B28"/>
    <w:rsid w:val="00412E9C"/>
    <w:rsid w:val="00433816"/>
    <w:rsid w:val="00441C13"/>
    <w:rsid w:val="004C1ED1"/>
    <w:rsid w:val="004C3515"/>
    <w:rsid w:val="004F21DB"/>
    <w:rsid w:val="005122EE"/>
    <w:rsid w:val="00517997"/>
    <w:rsid w:val="00534FCA"/>
    <w:rsid w:val="0054736E"/>
    <w:rsid w:val="0056711F"/>
    <w:rsid w:val="0057152C"/>
    <w:rsid w:val="00577248"/>
    <w:rsid w:val="005937B0"/>
    <w:rsid w:val="005D1989"/>
    <w:rsid w:val="005D49D3"/>
    <w:rsid w:val="0064022F"/>
    <w:rsid w:val="0064261E"/>
    <w:rsid w:val="00682D9B"/>
    <w:rsid w:val="006933E8"/>
    <w:rsid w:val="006B0AE1"/>
    <w:rsid w:val="007050B1"/>
    <w:rsid w:val="007073E0"/>
    <w:rsid w:val="007319C7"/>
    <w:rsid w:val="007409E6"/>
    <w:rsid w:val="0074332E"/>
    <w:rsid w:val="00764AAF"/>
    <w:rsid w:val="00775798"/>
    <w:rsid w:val="00784144"/>
    <w:rsid w:val="0079161A"/>
    <w:rsid w:val="007C77C7"/>
    <w:rsid w:val="007E6FAE"/>
    <w:rsid w:val="00802C96"/>
    <w:rsid w:val="008935AB"/>
    <w:rsid w:val="008C03FE"/>
    <w:rsid w:val="00913068"/>
    <w:rsid w:val="00926BC2"/>
    <w:rsid w:val="00926E57"/>
    <w:rsid w:val="009367BD"/>
    <w:rsid w:val="009677C3"/>
    <w:rsid w:val="009A23C7"/>
    <w:rsid w:val="009D6149"/>
    <w:rsid w:val="009E4EFA"/>
    <w:rsid w:val="009F3058"/>
    <w:rsid w:val="00A30B14"/>
    <w:rsid w:val="00A61278"/>
    <w:rsid w:val="00A710FD"/>
    <w:rsid w:val="00A77914"/>
    <w:rsid w:val="00AC1BA9"/>
    <w:rsid w:val="00AC522D"/>
    <w:rsid w:val="00AC5FC0"/>
    <w:rsid w:val="00AD7203"/>
    <w:rsid w:val="00AF5725"/>
    <w:rsid w:val="00B14262"/>
    <w:rsid w:val="00B168B6"/>
    <w:rsid w:val="00B30C0D"/>
    <w:rsid w:val="00B67936"/>
    <w:rsid w:val="00BA131C"/>
    <w:rsid w:val="00BA51D5"/>
    <w:rsid w:val="00BA609F"/>
    <w:rsid w:val="00BB3A4F"/>
    <w:rsid w:val="00BB6173"/>
    <w:rsid w:val="00BD5D7F"/>
    <w:rsid w:val="00BE5B19"/>
    <w:rsid w:val="00C05584"/>
    <w:rsid w:val="00C55055"/>
    <w:rsid w:val="00C738E3"/>
    <w:rsid w:val="00C8653D"/>
    <w:rsid w:val="00C86CF1"/>
    <w:rsid w:val="00D00BD2"/>
    <w:rsid w:val="00D64361"/>
    <w:rsid w:val="00D67E4E"/>
    <w:rsid w:val="00D90026"/>
    <w:rsid w:val="00D978B7"/>
    <w:rsid w:val="00D97A32"/>
    <w:rsid w:val="00DA19CA"/>
    <w:rsid w:val="00DB7EB4"/>
    <w:rsid w:val="00E115C5"/>
    <w:rsid w:val="00E15627"/>
    <w:rsid w:val="00E2305B"/>
    <w:rsid w:val="00E807F5"/>
    <w:rsid w:val="00E82F0E"/>
    <w:rsid w:val="00E96EAD"/>
    <w:rsid w:val="00EA235C"/>
    <w:rsid w:val="00EA4751"/>
    <w:rsid w:val="00EA5207"/>
    <w:rsid w:val="00EB504A"/>
    <w:rsid w:val="00EC1A77"/>
    <w:rsid w:val="00EE467F"/>
    <w:rsid w:val="00EF36AF"/>
    <w:rsid w:val="00F23A0A"/>
    <w:rsid w:val="00F2772E"/>
    <w:rsid w:val="00F313C4"/>
    <w:rsid w:val="00F52080"/>
    <w:rsid w:val="00F537D4"/>
    <w:rsid w:val="00F542F7"/>
    <w:rsid w:val="00F56869"/>
    <w:rsid w:val="00F82FC3"/>
    <w:rsid w:val="00F94E52"/>
    <w:rsid w:val="00FA0BC0"/>
    <w:rsid w:val="00FA7DF2"/>
    <w:rsid w:val="00FC2EEE"/>
    <w:rsid w:val="00FD48DE"/>
    <w:rsid w:val="00FD7C8E"/>
    <w:rsid w:val="00FF0F1A"/>
    <w:rsid w:val="00FF76E5"/>
    <w:rsid w:val="07B94814"/>
    <w:rsid w:val="08EE6477"/>
    <w:rsid w:val="15B95CD7"/>
    <w:rsid w:val="2EFC6775"/>
    <w:rsid w:val="30E93631"/>
    <w:rsid w:val="3CEC9BDA"/>
    <w:rsid w:val="427F7083"/>
    <w:rsid w:val="46335718"/>
    <w:rsid w:val="5FE716BB"/>
    <w:rsid w:val="749B049B"/>
    <w:rsid w:val="74B2F51D"/>
    <w:rsid w:val="7D1F42F9"/>
    <w:rsid w:val="82AD9AE0"/>
    <w:rsid w:val="FFF5681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8"/>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tabs>
        <w:tab w:val="center" w:pos="4153"/>
        <w:tab w:val="right" w:pos="8306"/>
      </w:tabs>
      <w:snapToGrid w:val="0"/>
      <w:jc w:val="center"/>
    </w:pPr>
    <w:rPr>
      <w:sz w:val="18"/>
      <w:szCs w:val="18"/>
    </w:rPr>
  </w:style>
  <w:style w:type="character" w:customStyle="1" w:styleId="6">
    <w:name w:val="Footer Char"/>
    <w:basedOn w:val="5"/>
    <w:link w:val="2"/>
    <w:qFormat/>
    <w:locked/>
    <w:uiPriority w:val="99"/>
    <w:rPr>
      <w:rFonts w:cs="Times New Roman"/>
      <w:sz w:val="18"/>
      <w:szCs w:val="18"/>
    </w:rPr>
  </w:style>
  <w:style w:type="character" w:customStyle="1" w:styleId="7">
    <w:name w:val="Header Char"/>
    <w:basedOn w:val="5"/>
    <w:link w:val="3"/>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7</Pages>
  <Words>3483</Words>
  <Characters>3764</Characters>
  <Lines>0</Lines>
  <Paragraphs>0</Paragraphs>
  <TotalTime>0</TotalTime>
  <ScaleCrop>false</ScaleCrop>
  <LinksUpToDate>false</LinksUpToDate>
  <CharactersWithSpaces>3865</CharactersWithSpaces>
  <Application>WPS Office_12.8.2.1115_F1E327BC-269C-435d-A152-05C5408002CA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2026-01-13T00:25:00Z</dcterms:created>
  <dc:creator>听 林</dc:creator>
  <cp:lastModifiedBy>牧风</cp:lastModifiedBy>
  <cp:lastPrinted>2025-01-17T00:31:00Z</cp:lastPrinted>
  <dcterms:modified xsi:type="dcterms:W3CDTF">2026-01-18T10:45:38Z</dcterms:modified>
  <dc:title>参评作品推荐表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eyJoZGlkIjoiMGQ1NzBhNzEzMzI3N2ZjOWU0YmEwZDk5NmZkMTkyYTMiLCJ1c2VySWQiOiIzMDc2NzE1OTcifQ==</vt:lpwstr>
  </property>
  <property fmtid="{D5CDD505-2E9C-101B-9397-08002B2CF9AE}" pid="3" name="KSOProductBuildVer">
    <vt:lpwstr>2052-12.8.2.1115</vt:lpwstr>
  </property>
  <property fmtid="{D5CDD505-2E9C-101B-9397-08002B2CF9AE}" pid="4" name="ICV">
    <vt:lpwstr>006C9FBBFB9A47DCBF4614968580EF73_12</vt:lpwstr>
  </property>
</Properties>
</file>