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57082E">
      <w:pPr>
        <w:spacing w:line="520" w:lineRule="exact"/>
        <w:rPr>
          <w:rFonts w:hint="eastAsia" w:ascii="黑体" w:hAnsi="黑体" w:eastAsia="黑体" w:cs="黑体"/>
          <w:sz w:val="32"/>
          <w:szCs w:val="32"/>
        </w:rPr>
      </w:pPr>
      <w:r>
        <w:rPr>
          <w:rFonts w:hint="eastAsia" w:ascii="黑体" w:hAnsi="黑体" w:eastAsia="黑体" w:cs="黑体"/>
          <w:sz w:val="32"/>
          <w:szCs w:val="32"/>
        </w:rPr>
        <w:t>附件3</w:t>
      </w:r>
    </w:p>
    <w:p w14:paraId="5DD258B4">
      <w:pPr>
        <w:autoSpaceDE/>
        <w:autoSpaceDN/>
        <w:spacing w:after="120" w:afterLines="50" w:line="600" w:lineRule="exact"/>
        <w:jc w:val="center"/>
        <w:rPr>
          <w:rFonts w:hint="eastAsia" w:ascii="华文中宋" w:hAnsi="华文中宋" w:eastAsia="华文中宋" w:cs="方正小标宋简体"/>
          <w:color w:val="000000"/>
          <w:kern w:val="2"/>
          <w:sz w:val="36"/>
          <w:szCs w:val="36"/>
        </w:rPr>
      </w:pPr>
      <w:r>
        <w:rPr>
          <w:rFonts w:hint="eastAsia" w:ascii="华文中宋" w:hAnsi="华文中宋" w:eastAsia="华文中宋" w:cs="方正小标宋简体"/>
          <w:color w:val="000000"/>
          <w:kern w:val="2"/>
          <w:sz w:val="36"/>
          <w:szCs w:val="36"/>
        </w:rPr>
        <w:t>新闻业务研究作品推荐表</w:t>
      </w:r>
    </w:p>
    <w:tbl>
      <w:tblPr>
        <w:tblStyle w:val="2"/>
        <w:tblW w:w="935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6"/>
        <w:gridCol w:w="145"/>
        <w:gridCol w:w="136"/>
        <w:gridCol w:w="289"/>
        <w:gridCol w:w="165"/>
        <w:gridCol w:w="119"/>
        <w:gridCol w:w="425"/>
        <w:gridCol w:w="283"/>
        <w:gridCol w:w="284"/>
        <w:gridCol w:w="992"/>
        <w:gridCol w:w="1134"/>
        <w:gridCol w:w="284"/>
        <w:gridCol w:w="567"/>
        <w:gridCol w:w="425"/>
        <w:gridCol w:w="142"/>
        <w:gridCol w:w="141"/>
        <w:gridCol w:w="134"/>
        <w:gridCol w:w="859"/>
        <w:gridCol w:w="141"/>
        <w:gridCol w:w="142"/>
        <w:gridCol w:w="280"/>
        <w:gridCol w:w="571"/>
        <w:gridCol w:w="137"/>
        <w:gridCol w:w="855"/>
      </w:tblGrid>
      <w:tr w14:paraId="66C4B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exact"/>
        </w:trPr>
        <w:tc>
          <w:tcPr>
            <w:tcW w:w="1441" w:type="dxa"/>
            <w:gridSpan w:val="5"/>
            <w:vAlign w:val="center"/>
          </w:tcPr>
          <w:p w14:paraId="44BCD0F9">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作品标题</w:t>
            </w:r>
          </w:p>
        </w:tc>
        <w:tc>
          <w:tcPr>
            <w:tcW w:w="6352" w:type="dxa"/>
            <w:gridSpan w:val="16"/>
            <w:vAlign w:val="center"/>
          </w:tcPr>
          <w:p w14:paraId="29E6914A">
            <w:pPr>
              <w:keepNext w:val="0"/>
              <w:keepLines w:val="0"/>
              <w:suppressLineNumbers w:val="0"/>
              <w:autoSpaceDE/>
              <w:autoSpaceDN/>
              <w:spacing w:before="0" w:beforeAutospacing="0" w:after="0" w:afterAutospacing="0" w:line="300" w:lineRule="exact"/>
              <w:ind w:left="0" w:right="0"/>
              <w:jc w:val="both"/>
              <w:rPr>
                <w:rFonts w:hint="eastAsia" w:ascii="华文中宋" w:hAnsi="华文中宋" w:eastAsia="华文中宋" w:cs="Times New Roman"/>
                <w:kern w:val="2"/>
                <w:sz w:val="21"/>
                <w:szCs w:val="21"/>
              </w:rPr>
            </w:pPr>
            <w:r>
              <w:rPr>
                <w:rFonts w:hint="eastAsia" w:ascii="仿宋" w:hAnsi="仿宋" w:eastAsia="仿宋" w:cs="仿宋"/>
                <w:color w:val="000000"/>
                <w:kern w:val="2"/>
                <w:sz w:val="21"/>
                <w:szCs w:val="21"/>
              </w:rPr>
              <w:t>融媒体时代典型报道创新研究</w:t>
            </w:r>
          </w:p>
        </w:tc>
        <w:tc>
          <w:tcPr>
            <w:tcW w:w="708" w:type="dxa"/>
            <w:gridSpan w:val="2"/>
            <w:vAlign w:val="center"/>
          </w:tcPr>
          <w:p w14:paraId="13BE1F70">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4"/>
              </w:rPr>
              <w:t>字数</w:t>
            </w:r>
          </w:p>
        </w:tc>
        <w:tc>
          <w:tcPr>
            <w:tcW w:w="855" w:type="dxa"/>
            <w:vAlign w:val="center"/>
          </w:tcPr>
          <w:p w14:paraId="188A12B5">
            <w:pPr>
              <w:keepNext w:val="0"/>
              <w:keepLines w:val="0"/>
              <w:suppressLineNumbers w:val="0"/>
              <w:autoSpaceDE/>
              <w:autoSpaceDN/>
              <w:spacing w:before="0" w:beforeAutospacing="0" w:after="0" w:afterAutospacing="0" w:line="300" w:lineRule="exact"/>
              <w:ind w:left="0" w:right="0"/>
              <w:jc w:val="both"/>
              <w:rPr>
                <w:rFonts w:hint="default" w:ascii="仿宋" w:hAnsi="仿宋" w:eastAsia="仿宋" w:cs="Times New Roman"/>
                <w:color w:val="000000"/>
                <w:kern w:val="2"/>
                <w:sz w:val="21"/>
                <w:szCs w:val="21"/>
                <w:lang w:val="en-US" w:eastAsia="zh-CN"/>
              </w:rPr>
            </w:pPr>
            <w:r>
              <w:rPr>
                <w:rFonts w:hint="eastAsia" w:ascii="仿宋" w:hAnsi="仿宋" w:eastAsia="仿宋" w:cs="Times New Roman"/>
                <w:color w:val="000000"/>
                <w:w w:val="95"/>
                <w:sz w:val="21"/>
                <w:szCs w:val="21"/>
                <w:lang w:val="en-US" w:eastAsia="zh-CN"/>
              </w:rPr>
              <w:t>3955</w:t>
            </w:r>
          </w:p>
        </w:tc>
      </w:tr>
      <w:tr w14:paraId="35A87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trPr>
        <w:tc>
          <w:tcPr>
            <w:tcW w:w="851" w:type="dxa"/>
            <w:gridSpan w:val="2"/>
            <w:vAlign w:val="center"/>
          </w:tcPr>
          <w:p w14:paraId="5A215C90">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spacing w:val="-12"/>
                <w:kern w:val="2"/>
                <w:sz w:val="28"/>
              </w:rPr>
            </w:pPr>
            <w:r>
              <w:rPr>
                <w:rFonts w:hint="eastAsia" w:ascii="华文中宋" w:hAnsi="华文中宋" w:eastAsia="华文中宋" w:cs="Times New Roman"/>
                <w:color w:val="000000"/>
                <w:spacing w:val="-12"/>
                <w:kern w:val="2"/>
                <w:sz w:val="28"/>
              </w:rPr>
              <w:t>作者</w:t>
            </w:r>
          </w:p>
        </w:tc>
        <w:tc>
          <w:tcPr>
            <w:tcW w:w="4678" w:type="dxa"/>
            <w:gridSpan w:val="11"/>
            <w:vAlign w:val="center"/>
          </w:tcPr>
          <w:p w14:paraId="07A4E747">
            <w:pPr>
              <w:keepNext w:val="0"/>
              <w:keepLines w:val="0"/>
              <w:suppressLineNumbers w:val="0"/>
              <w:autoSpaceDE/>
              <w:autoSpaceDN/>
              <w:spacing w:before="0" w:beforeAutospacing="0" w:after="0" w:afterAutospacing="0" w:line="300" w:lineRule="exact"/>
              <w:ind w:left="0" w:right="0"/>
              <w:jc w:val="both"/>
              <w:rPr>
                <w:rFonts w:hint="eastAsia" w:ascii="仿宋_GB2312" w:hAnsi="华文中宋" w:eastAsia="仿宋_GB2312" w:cs="Times New Roman"/>
                <w:color w:val="000000"/>
                <w:kern w:val="2"/>
                <w:sz w:val="21"/>
                <w:szCs w:val="21"/>
              </w:rPr>
            </w:pPr>
            <w:r>
              <w:rPr>
                <w:rFonts w:hint="eastAsia" w:ascii="仿宋" w:hAnsi="仿宋" w:eastAsia="仿宋" w:cs="Times New Roman"/>
                <w:color w:val="000000"/>
                <w:w w:val="95"/>
                <w:sz w:val="21"/>
                <w:szCs w:val="21"/>
                <w:lang w:val="en-US" w:eastAsia="zh-CN"/>
              </w:rPr>
              <w:t>祝卫明、祝馨仪</w:t>
            </w:r>
          </w:p>
        </w:tc>
        <w:tc>
          <w:tcPr>
            <w:tcW w:w="842" w:type="dxa"/>
            <w:gridSpan w:val="4"/>
            <w:vAlign w:val="center"/>
          </w:tcPr>
          <w:p w14:paraId="1DEAF90E">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编辑</w:t>
            </w:r>
          </w:p>
        </w:tc>
        <w:tc>
          <w:tcPr>
            <w:tcW w:w="2985" w:type="dxa"/>
            <w:gridSpan w:val="7"/>
            <w:vAlign w:val="center"/>
          </w:tcPr>
          <w:p w14:paraId="10A1FD03">
            <w:pPr>
              <w:keepNext w:val="0"/>
              <w:keepLines w:val="0"/>
              <w:suppressLineNumbers w:val="0"/>
              <w:autoSpaceDE/>
              <w:autoSpaceDN/>
              <w:spacing w:before="0" w:beforeAutospacing="0" w:after="0" w:afterAutospacing="0" w:line="300" w:lineRule="exact"/>
              <w:ind w:left="0" w:right="0"/>
              <w:jc w:val="both"/>
              <w:rPr>
                <w:rFonts w:hint="default" w:ascii="仿宋" w:hAnsi="仿宋" w:eastAsia="仿宋" w:cs="Times New Roman"/>
                <w:color w:val="000000"/>
                <w:w w:val="95"/>
                <w:kern w:val="2"/>
                <w:sz w:val="21"/>
                <w:szCs w:val="21"/>
                <w:lang w:val="en-US" w:eastAsia="zh-CN"/>
              </w:rPr>
            </w:pPr>
            <w:r>
              <w:rPr>
                <w:rFonts w:hint="eastAsia" w:ascii="仿宋" w:hAnsi="仿宋" w:eastAsia="仿宋" w:cs="Times New Roman"/>
                <w:color w:val="000000"/>
                <w:w w:val="95"/>
                <w:kern w:val="2"/>
                <w:sz w:val="21"/>
                <w:szCs w:val="21"/>
                <w:lang w:val="en-US" w:eastAsia="zh-CN"/>
              </w:rPr>
              <w:t>宋程程</w:t>
            </w:r>
          </w:p>
        </w:tc>
      </w:tr>
      <w:tr w14:paraId="062A4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1276" w:type="dxa"/>
            <w:gridSpan w:val="4"/>
            <w:vAlign w:val="center"/>
          </w:tcPr>
          <w:p w14:paraId="42C23C83">
            <w:pPr>
              <w:keepNext w:val="0"/>
              <w:keepLines w:val="0"/>
              <w:suppressLineNumbers w:val="0"/>
              <w:autoSpaceDE/>
              <w:autoSpaceDN/>
              <w:spacing w:before="0" w:beforeAutospacing="0" w:after="0" w:afterAutospacing="0" w:line="300" w:lineRule="exact"/>
              <w:ind w:left="0" w:right="0"/>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刊登刊物名称</w:t>
            </w:r>
          </w:p>
        </w:tc>
        <w:tc>
          <w:tcPr>
            <w:tcW w:w="3402" w:type="dxa"/>
            <w:gridSpan w:val="7"/>
            <w:vAlign w:val="center"/>
          </w:tcPr>
          <w:p w14:paraId="754CF0F2">
            <w:pPr>
              <w:keepNext w:val="0"/>
              <w:keepLines w:val="0"/>
              <w:suppressLineNumbers w:val="0"/>
              <w:autoSpaceDE/>
              <w:autoSpaceDN/>
              <w:spacing w:before="0" w:beforeAutospacing="0" w:after="0" w:afterAutospacing="0" w:line="300" w:lineRule="exact"/>
              <w:ind w:left="0" w:right="0" w:firstLine="420"/>
              <w:jc w:val="both"/>
              <w:rPr>
                <w:rFonts w:hint="default" w:ascii="仿宋" w:hAnsi="仿宋" w:eastAsia="仿宋" w:cs="Times New Roman"/>
                <w:color w:val="000000"/>
                <w:kern w:val="2"/>
                <w:sz w:val="21"/>
                <w:szCs w:val="21"/>
                <w:lang w:val="en-US" w:eastAsia="zh-CN"/>
              </w:rPr>
            </w:pPr>
            <w:r>
              <w:rPr>
                <w:rFonts w:hint="eastAsia" w:ascii="仿宋" w:hAnsi="仿宋" w:eastAsia="仿宋" w:cs="Times New Roman"/>
                <w:color w:val="000000"/>
                <w:kern w:val="2"/>
                <w:sz w:val="21"/>
                <w:szCs w:val="21"/>
                <w:lang w:val="en-US" w:eastAsia="zh-CN"/>
              </w:rPr>
              <w:t>中国地市报人</w:t>
            </w:r>
          </w:p>
        </w:tc>
        <w:tc>
          <w:tcPr>
            <w:tcW w:w="1418" w:type="dxa"/>
            <w:gridSpan w:val="4"/>
            <w:vAlign w:val="center"/>
          </w:tcPr>
          <w:p w14:paraId="3B36EB14">
            <w:pPr>
              <w:keepNext w:val="0"/>
              <w:keepLines w:val="0"/>
              <w:suppressLineNumbers w:val="0"/>
              <w:autoSpaceDE/>
              <w:autoSpaceDN/>
              <w:spacing w:before="0" w:beforeAutospacing="0" w:after="0" w:afterAutospacing="0" w:line="300" w:lineRule="exact"/>
              <w:ind w:left="0" w:right="0"/>
              <w:jc w:val="both"/>
              <w:rPr>
                <w:rFonts w:hint="eastAsia" w:ascii="华文中宋" w:hAnsi="华文中宋" w:eastAsia="华文中宋" w:cs="Times New Roman"/>
                <w:color w:val="000000"/>
                <w:kern w:val="2"/>
                <w:sz w:val="28"/>
                <w:szCs w:val="28"/>
              </w:rPr>
            </w:pPr>
            <w:r>
              <w:rPr>
                <w:rFonts w:hint="eastAsia" w:ascii="华文中宋" w:hAnsi="华文中宋" w:eastAsia="华文中宋" w:cs="Times New Roman"/>
                <w:color w:val="000000"/>
                <w:kern w:val="2"/>
                <w:sz w:val="28"/>
                <w:szCs w:val="28"/>
              </w:rPr>
              <w:t>刊物国内统一刊号</w:t>
            </w:r>
          </w:p>
        </w:tc>
        <w:tc>
          <w:tcPr>
            <w:tcW w:w="3260" w:type="dxa"/>
            <w:gridSpan w:val="9"/>
            <w:vAlign w:val="center"/>
          </w:tcPr>
          <w:p w14:paraId="6CEDEA06">
            <w:pPr>
              <w:keepNext w:val="0"/>
              <w:keepLines w:val="0"/>
              <w:suppressLineNumbers w:val="0"/>
              <w:autoSpaceDE/>
              <w:autoSpaceDN/>
              <w:spacing w:before="0" w:beforeAutospacing="0" w:after="0" w:afterAutospacing="0" w:line="300" w:lineRule="exact"/>
              <w:ind w:left="0" w:right="0"/>
              <w:jc w:val="both"/>
              <w:rPr>
                <w:rFonts w:hint="default" w:ascii="仿宋_GB2312" w:hAnsi="仿宋" w:eastAsia="仿宋_GB2312" w:cs="Times New Roman"/>
                <w:color w:val="000000"/>
                <w:kern w:val="2"/>
                <w:sz w:val="18"/>
                <w:szCs w:val="18"/>
                <w:highlight w:val="green"/>
                <w:lang w:val="en-US" w:eastAsia="zh-CN"/>
              </w:rPr>
            </w:pPr>
            <w:r>
              <w:rPr>
                <w:rFonts w:hint="eastAsia" w:ascii="仿宋_GB2312" w:hAnsi="仿宋" w:eastAsia="仿宋_GB2312" w:cs="Times New Roman"/>
                <w:color w:val="000000"/>
                <w:kern w:val="2"/>
                <w:sz w:val="18"/>
                <w:szCs w:val="18"/>
                <w:highlight w:val="green"/>
                <w:lang w:val="en-US" w:eastAsia="zh-CN"/>
              </w:rPr>
              <w:t>CN42-1368/G2</w:t>
            </w:r>
          </w:p>
        </w:tc>
      </w:tr>
      <w:tr w14:paraId="08EE8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exact"/>
        </w:trPr>
        <w:tc>
          <w:tcPr>
            <w:tcW w:w="2268" w:type="dxa"/>
            <w:gridSpan w:val="8"/>
            <w:vAlign w:val="center"/>
          </w:tcPr>
          <w:p w14:paraId="51BE6690">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刊登栏目或版面</w:t>
            </w:r>
          </w:p>
        </w:tc>
        <w:tc>
          <w:tcPr>
            <w:tcW w:w="3828" w:type="dxa"/>
            <w:gridSpan w:val="7"/>
            <w:vAlign w:val="center"/>
          </w:tcPr>
          <w:p w14:paraId="6704D953">
            <w:pPr>
              <w:keepNext w:val="0"/>
              <w:keepLines w:val="0"/>
              <w:suppressLineNumbers w:val="0"/>
              <w:autoSpaceDE/>
              <w:autoSpaceDN/>
              <w:spacing w:before="0" w:beforeAutospacing="0" w:after="0" w:afterAutospacing="0" w:line="300" w:lineRule="exact"/>
              <w:ind w:left="0" w:right="0"/>
              <w:jc w:val="both"/>
              <w:rPr>
                <w:rFonts w:hint="default" w:ascii="仿宋" w:hAnsi="仿宋" w:eastAsia="仿宋" w:cs="Times New Roman"/>
                <w:color w:val="000000"/>
                <w:kern w:val="2"/>
                <w:sz w:val="21"/>
                <w:szCs w:val="21"/>
                <w:lang w:val="en-US" w:eastAsia="zh-CN"/>
              </w:rPr>
            </w:pPr>
            <w:r>
              <w:rPr>
                <w:rFonts w:hint="eastAsia" w:ascii="仿宋" w:hAnsi="仿宋" w:eastAsia="仿宋" w:cs="Times New Roman"/>
                <w:color w:val="000000"/>
                <w:kern w:val="2"/>
                <w:sz w:val="21"/>
                <w:szCs w:val="21"/>
                <w:lang w:val="en-US" w:eastAsia="zh-CN"/>
              </w:rPr>
              <w:t>2025年10期总第466期91-93页</w:t>
            </w:r>
          </w:p>
        </w:tc>
        <w:tc>
          <w:tcPr>
            <w:tcW w:w="1417" w:type="dxa"/>
            <w:gridSpan w:val="5"/>
            <w:vAlign w:val="center"/>
          </w:tcPr>
          <w:p w14:paraId="0051DAE0">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刊播日期</w:t>
            </w:r>
          </w:p>
        </w:tc>
        <w:tc>
          <w:tcPr>
            <w:tcW w:w="1843" w:type="dxa"/>
            <w:gridSpan w:val="4"/>
            <w:vAlign w:val="center"/>
          </w:tcPr>
          <w:p w14:paraId="47E14F53">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r>
              <w:rPr>
                <w:rFonts w:hint="eastAsia" w:ascii="仿宋" w:hAnsi="仿宋" w:eastAsia="仿宋" w:cs="Times New Roman"/>
                <w:color w:val="000000"/>
                <w:kern w:val="2"/>
                <w:sz w:val="21"/>
                <w:szCs w:val="21"/>
              </w:rPr>
              <w:t>2025年</w:t>
            </w:r>
            <w:r>
              <w:rPr>
                <w:rFonts w:hint="eastAsia" w:ascii="仿宋" w:hAnsi="仿宋" w:eastAsia="仿宋" w:cs="Times New Roman"/>
                <w:color w:val="000000"/>
                <w:kern w:val="2"/>
                <w:sz w:val="21"/>
                <w:szCs w:val="21"/>
                <w:lang w:val="en-US" w:eastAsia="zh-CN"/>
              </w:rPr>
              <w:t>10</w:t>
            </w:r>
            <w:r>
              <w:rPr>
                <w:rFonts w:hint="eastAsia" w:ascii="仿宋" w:hAnsi="仿宋" w:eastAsia="仿宋" w:cs="Times New Roman"/>
                <w:color w:val="000000"/>
                <w:kern w:val="2"/>
                <w:sz w:val="21"/>
                <w:szCs w:val="21"/>
              </w:rPr>
              <w:t>月</w:t>
            </w:r>
          </w:p>
        </w:tc>
      </w:tr>
      <w:tr w14:paraId="317FA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8" w:hRule="atLeast"/>
        </w:trPr>
        <w:tc>
          <w:tcPr>
            <w:tcW w:w="987" w:type="dxa"/>
            <w:gridSpan w:val="3"/>
            <w:vAlign w:val="center"/>
          </w:tcPr>
          <w:p w14:paraId="28AB856D">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 xml:space="preserve">  ︵</w:t>
            </w:r>
          </w:p>
          <w:p w14:paraId="47B49F4A">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作采</w:t>
            </w:r>
          </w:p>
          <w:p w14:paraId="7E83EB5A">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品编</w:t>
            </w:r>
          </w:p>
          <w:p w14:paraId="3F7E22A7">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简过</w:t>
            </w:r>
          </w:p>
          <w:p w14:paraId="56BAE21A">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介程</w:t>
            </w:r>
          </w:p>
          <w:p w14:paraId="51408AC6">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 xml:space="preserve">  ︶</w:t>
            </w:r>
          </w:p>
        </w:tc>
        <w:tc>
          <w:tcPr>
            <w:tcW w:w="8369" w:type="dxa"/>
            <w:gridSpan w:val="21"/>
            <w:vAlign w:val="center"/>
          </w:tcPr>
          <w:p w14:paraId="7A08F75C">
            <w:pPr>
              <w:keepNext w:val="0"/>
              <w:keepLines w:val="0"/>
              <w:suppressLineNumbers w:val="0"/>
              <w:autoSpaceDE/>
              <w:autoSpaceDN/>
              <w:spacing w:before="0" w:beforeAutospacing="0" w:after="0" w:afterAutospacing="0" w:line="300" w:lineRule="exact"/>
              <w:ind w:left="0" w:right="0" w:firstLine="392" w:firstLineChars="200"/>
              <w:jc w:val="both"/>
              <w:rPr>
                <w:rFonts w:hint="eastAsia" w:ascii="仿宋" w:hAnsi="仿宋" w:eastAsia="仿宋" w:cs="Times New Roman"/>
                <w:color w:val="000000"/>
                <w:w w:val="95"/>
                <w:kern w:val="2"/>
                <w:sz w:val="21"/>
                <w:szCs w:val="21"/>
              </w:rPr>
            </w:pPr>
            <w:r>
              <w:rPr>
                <w:rFonts w:hint="eastAsia" w:ascii="仿宋" w:hAnsi="仿宋" w:eastAsia="仿宋" w:cs="Times New Roman"/>
                <w:color w:val="000000"/>
                <w:w w:val="95"/>
                <w:sz w:val="21"/>
                <w:szCs w:val="21"/>
                <w:lang w:val="en-US" w:eastAsia="zh-CN"/>
              </w:rPr>
              <w:t>本论文聚焦融媒体环境下典型报道的转型与创新，以荣获省级奖项的新闻作品《</w:t>
            </w:r>
            <w:r>
              <w:rPr>
                <w:rFonts w:hint="default" w:ascii="仿宋" w:hAnsi="仿宋" w:eastAsia="仿宋" w:cs="Times New Roman"/>
                <w:color w:val="000000"/>
                <w:w w:val="95"/>
                <w:sz w:val="21"/>
                <w:szCs w:val="21"/>
                <w:lang w:val="en-US" w:eastAsia="zh-CN"/>
              </w:rPr>
              <w:t>“</w:t>
            </w:r>
            <w:r>
              <w:rPr>
                <w:rFonts w:hint="eastAsia" w:ascii="仿宋" w:hAnsi="仿宋" w:eastAsia="仿宋" w:cs="Times New Roman"/>
                <w:color w:val="000000"/>
                <w:w w:val="95"/>
                <w:sz w:val="21"/>
                <w:szCs w:val="21"/>
                <w:lang w:val="en-US" w:eastAsia="zh-CN"/>
              </w:rPr>
              <w:t>头雁</w:t>
            </w:r>
            <w:r>
              <w:rPr>
                <w:rFonts w:hint="default" w:ascii="仿宋" w:hAnsi="仿宋" w:eastAsia="仿宋" w:cs="Times New Roman"/>
                <w:color w:val="000000"/>
                <w:w w:val="95"/>
                <w:sz w:val="21"/>
                <w:szCs w:val="21"/>
                <w:lang w:val="en-US" w:eastAsia="zh-CN"/>
              </w:rPr>
              <w:t>”</w:t>
            </w:r>
            <w:r>
              <w:rPr>
                <w:rFonts w:hint="eastAsia" w:ascii="仿宋" w:hAnsi="仿宋" w:eastAsia="仿宋" w:cs="Times New Roman"/>
                <w:color w:val="000000"/>
                <w:w w:val="95"/>
                <w:sz w:val="21"/>
                <w:szCs w:val="21"/>
                <w:lang w:val="en-US" w:eastAsia="zh-CN"/>
              </w:rPr>
              <w:t>归来》为实证案例进行剖析。文章系统阐述了该作品在</w:t>
            </w:r>
            <w:r>
              <w:rPr>
                <w:rFonts w:hint="default" w:ascii="仿宋" w:hAnsi="仿宋" w:eastAsia="仿宋" w:cs="Times New Roman"/>
                <w:color w:val="000000"/>
                <w:w w:val="95"/>
                <w:sz w:val="21"/>
                <w:szCs w:val="21"/>
                <w:lang w:val="en-US" w:eastAsia="zh-CN"/>
              </w:rPr>
              <w:t>“</w:t>
            </w:r>
            <w:r>
              <w:rPr>
                <w:rFonts w:hint="eastAsia" w:ascii="仿宋" w:hAnsi="仿宋" w:eastAsia="仿宋" w:cs="Times New Roman"/>
                <w:color w:val="000000"/>
                <w:w w:val="95"/>
                <w:sz w:val="21"/>
                <w:szCs w:val="21"/>
                <w:lang w:val="en-US" w:eastAsia="zh-CN"/>
              </w:rPr>
              <w:t>一次采集、多元生成、全平台覆盖</w:t>
            </w:r>
            <w:r>
              <w:rPr>
                <w:rFonts w:hint="default" w:ascii="仿宋" w:hAnsi="仿宋" w:eastAsia="仿宋" w:cs="Times New Roman"/>
                <w:color w:val="000000"/>
                <w:w w:val="95"/>
                <w:sz w:val="21"/>
                <w:szCs w:val="21"/>
                <w:lang w:val="en-US" w:eastAsia="zh-CN"/>
              </w:rPr>
              <w:t>”</w:t>
            </w:r>
            <w:r>
              <w:rPr>
                <w:rFonts w:hint="eastAsia" w:ascii="仿宋" w:hAnsi="仿宋" w:eastAsia="仿宋" w:cs="Times New Roman"/>
                <w:color w:val="000000"/>
                <w:w w:val="95"/>
                <w:sz w:val="21"/>
                <w:szCs w:val="21"/>
                <w:lang w:val="en-US" w:eastAsia="zh-CN"/>
              </w:rPr>
              <w:t>融媒体生产模式下的具体实践，深入探讨其通过多平台联动传播、增强受众互动、深度挖掘故事内涵等路径实现创新突破的过程，最终总结提炼出具有可操作性的典型报道创新策略，为同类报道提供了鲜活的实践范式和理论思考。</w:t>
            </w:r>
          </w:p>
        </w:tc>
      </w:tr>
      <w:tr w14:paraId="721A5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3" w:hRule="exact"/>
        </w:trPr>
        <w:tc>
          <w:tcPr>
            <w:tcW w:w="987" w:type="dxa"/>
            <w:gridSpan w:val="3"/>
            <w:vAlign w:val="center"/>
          </w:tcPr>
          <w:p w14:paraId="729D20B5">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社</w:t>
            </w:r>
          </w:p>
          <w:p w14:paraId="21FD76CD">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会</w:t>
            </w:r>
          </w:p>
          <w:p w14:paraId="1F669408">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效</w:t>
            </w:r>
          </w:p>
          <w:p w14:paraId="3585C478">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果</w:t>
            </w:r>
          </w:p>
        </w:tc>
        <w:tc>
          <w:tcPr>
            <w:tcW w:w="8369" w:type="dxa"/>
            <w:gridSpan w:val="21"/>
            <w:vAlign w:val="center"/>
          </w:tcPr>
          <w:p w14:paraId="1468E92E">
            <w:pPr>
              <w:keepNext w:val="0"/>
              <w:keepLines w:val="0"/>
              <w:suppressLineNumbers w:val="0"/>
              <w:autoSpaceDE/>
              <w:autoSpaceDN/>
              <w:spacing w:before="0" w:beforeAutospacing="0" w:after="0" w:afterAutospacing="0" w:line="300" w:lineRule="exact"/>
              <w:ind w:left="0" w:right="0" w:firstLine="392" w:firstLineChars="200"/>
              <w:jc w:val="both"/>
              <w:rPr>
                <w:rFonts w:hint="eastAsia" w:ascii="仿宋" w:hAnsi="仿宋" w:eastAsia="仿宋" w:cs="Times New Roman"/>
                <w:color w:val="000000"/>
                <w:kern w:val="2"/>
                <w:sz w:val="21"/>
                <w:szCs w:val="21"/>
              </w:rPr>
            </w:pPr>
            <w:r>
              <w:rPr>
                <w:rFonts w:hint="eastAsia" w:ascii="仿宋" w:hAnsi="仿宋" w:eastAsia="仿宋" w:cs="Times New Roman"/>
                <w:color w:val="000000"/>
                <w:w w:val="95"/>
                <w:sz w:val="21"/>
                <w:szCs w:val="21"/>
                <w:lang w:val="en-US" w:eastAsia="zh-CN"/>
              </w:rPr>
              <w:t>研究依托的案例作品《</w:t>
            </w:r>
            <w:r>
              <w:rPr>
                <w:rFonts w:hint="default" w:ascii="仿宋" w:hAnsi="仿宋" w:eastAsia="仿宋" w:cs="Times New Roman"/>
                <w:color w:val="000000"/>
                <w:w w:val="95"/>
                <w:sz w:val="21"/>
                <w:szCs w:val="21"/>
                <w:lang w:val="en-US" w:eastAsia="zh-CN"/>
              </w:rPr>
              <w:t>“</w:t>
            </w:r>
            <w:r>
              <w:rPr>
                <w:rFonts w:hint="eastAsia" w:ascii="仿宋" w:hAnsi="仿宋" w:eastAsia="仿宋" w:cs="Times New Roman"/>
                <w:color w:val="000000"/>
                <w:w w:val="95"/>
                <w:sz w:val="21"/>
                <w:szCs w:val="21"/>
                <w:lang w:val="en-US" w:eastAsia="zh-CN"/>
              </w:rPr>
              <w:t>头雁</w:t>
            </w:r>
            <w:r>
              <w:rPr>
                <w:rFonts w:hint="default" w:ascii="仿宋" w:hAnsi="仿宋" w:eastAsia="仿宋" w:cs="Times New Roman"/>
                <w:color w:val="000000"/>
                <w:w w:val="95"/>
                <w:sz w:val="21"/>
                <w:szCs w:val="21"/>
                <w:lang w:val="en-US" w:eastAsia="zh-CN"/>
              </w:rPr>
              <w:t>”</w:t>
            </w:r>
            <w:r>
              <w:rPr>
                <w:rFonts w:hint="eastAsia" w:ascii="仿宋" w:hAnsi="仿宋" w:eastAsia="仿宋" w:cs="Times New Roman"/>
                <w:color w:val="000000"/>
                <w:w w:val="95"/>
                <w:sz w:val="21"/>
                <w:szCs w:val="21"/>
                <w:lang w:val="en-US" w:eastAsia="zh-CN"/>
              </w:rPr>
              <w:t>归来》取得了显著的社会反响。作品成功塑造了新时代基层干部生动形象，推广了地方改革发展的宝贵经验，有效发挥了凝聚人心、引领舆论的积极作用。相关专题报道先后获得江西新闻奖、江西广播电视奖、江西报刊网络新闻奖等多项荣誉，印证了其内容价值与传播效果，也为本研究的现实指导意义提供了有力支撑。</w:t>
            </w:r>
          </w:p>
        </w:tc>
      </w:tr>
      <w:tr w14:paraId="33734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exact"/>
        </w:trPr>
        <w:tc>
          <w:tcPr>
            <w:tcW w:w="706" w:type="dxa"/>
            <w:vMerge w:val="restart"/>
            <w:tcBorders>
              <w:top w:val="single" w:color="auto" w:sz="4" w:space="0"/>
              <w:left w:val="single" w:color="auto" w:sz="4" w:space="0"/>
              <w:bottom w:val="single" w:color="auto" w:sz="4" w:space="0"/>
              <w:right w:val="single" w:color="auto" w:sz="4" w:space="0"/>
            </w:tcBorders>
            <w:vAlign w:val="center"/>
          </w:tcPr>
          <w:p w14:paraId="3B943FC9">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传</w:t>
            </w:r>
          </w:p>
          <w:p w14:paraId="53ED4BAD">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播</w:t>
            </w:r>
          </w:p>
          <w:p w14:paraId="3CC2A2C9">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数</w:t>
            </w:r>
          </w:p>
          <w:p w14:paraId="71AEE805">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据</w:t>
            </w:r>
          </w:p>
        </w:tc>
        <w:tc>
          <w:tcPr>
            <w:tcW w:w="854" w:type="dxa"/>
            <w:gridSpan w:val="5"/>
            <w:vMerge w:val="restart"/>
            <w:tcBorders>
              <w:top w:val="single" w:color="auto" w:sz="4" w:space="0"/>
              <w:left w:val="single" w:color="auto" w:sz="4" w:space="0"/>
              <w:bottom w:val="single" w:color="auto" w:sz="4" w:space="0"/>
              <w:right w:val="single" w:color="auto" w:sz="4" w:space="0"/>
            </w:tcBorders>
            <w:vAlign w:val="center"/>
          </w:tcPr>
          <w:p w14:paraId="02A5232C">
            <w:pPr>
              <w:keepNext w:val="0"/>
              <w:keepLines w:val="0"/>
              <w:suppressLineNumbers w:val="0"/>
              <w:autoSpaceDE/>
              <w:autoSpaceDN/>
              <w:spacing w:before="0" w:beforeAutospacing="0" w:after="0" w:afterAutospacing="0" w:line="300" w:lineRule="exact"/>
              <w:ind w:left="0" w:right="0"/>
              <w:jc w:val="center"/>
              <w:rPr>
                <w:rFonts w:hint="eastAsia" w:ascii="仿宋" w:hAnsi="仿宋" w:eastAsia="仿宋" w:cs="仿宋"/>
                <w:color w:val="000000"/>
                <w:spacing w:val="-10"/>
                <w:kern w:val="2"/>
                <w:sz w:val="21"/>
                <w:szCs w:val="21"/>
              </w:rPr>
            </w:pPr>
            <w:r>
              <w:rPr>
                <w:rFonts w:hint="eastAsia" w:ascii="仿宋" w:hAnsi="仿宋" w:eastAsia="仿宋" w:cs="仿宋"/>
                <w:color w:val="000000"/>
                <w:spacing w:val="-10"/>
                <w:kern w:val="2"/>
                <w:sz w:val="21"/>
                <w:szCs w:val="21"/>
              </w:rPr>
              <w:t>新媒体传播</w:t>
            </w:r>
            <w:r>
              <w:rPr>
                <w:rFonts w:hint="eastAsia" w:ascii="仿宋" w:hAnsi="仿宋" w:eastAsia="仿宋" w:cs="仿宋"/>
                <w:color w:val="000000"/>
                <w:kern w:val="2"/>
                <w:sz w:val="21"/>
                <w:szCs w:val="21"/>
              </w:rPr>
              <w:t>平台网址</w:t>
            </w:r>
          </w:p>
        </w:tc>
        <w:tc>
          <w:tcPr>
            <w:tcW w:w="425" w:type="dxa"/>
            <w:tcBorders>
              <w:top w:val="single" w:color="auto" w:sz="4" w:space="0"/>
              <w:left w:val="single" w:color="auto" w:sz="4" w:space="0"/>
              <w:bottom w:val="single" w:color="auto" w:sz="4" w:space="0"/>
              <w:right w:val="single" w:color="auto" w:sz="4" w:space="0"/>
            </w:tcBorders>
            <w:vAlign w:val="center"/>
          </w:tcPr>
          <w:p w14:paraId="7DCC6D33">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仿宋"/>
                <w:color w:val="000000"/>
                <w:kern w:val="2"/>
                <w:sz w:val="21"/>
                <w:szCs w:val="21"/>
              </w:rPr>
            </w:pPr>
            <w:r>
              <w:rPr>
                <w:rFonts w:hint="eastAsia" w:ascii="仿宋" w:hAnsi="仿宋" w:eastAsia="仿宋" w:cs="仿宋"/>
                <w:color w:val="000000"/>
                <w:kern w:val="2"/>
                <w:sz w:val="21"/>
                <w:szCs w:val="21"/>
              </w:rPr>
              <w:t>1</w:t>
            </w:r>
          </w:p>
        </w:tc>
        <w:tc>
          <w:tcPr>
            <w:tcW w:w="7371" w:type="dxa"/>
            <w:gridSpan w:val="17"/>
            <w:tcBorders>
              <w:top w:val="single" w:color="auto" w:sz="4" w:space="0"/>
              <w:left w:val="single" w:color="auto" w:sz="4" w:space="0"/>
              <w:bottom w:val="single" w:color="auto" w:sz="4" w:space="0"/>
              <w:right w:val="single" w:color="auto" w:sz="4" w:space="0"/>
            </w:tcBorders>
            <w:vAlign w:val="center"/>
          </w:tcPr>
          <w:p w14:paraId="6E245A16">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r>
              <w:rPr>
                <w:rFonts w:hint="eastAsia" w:ascii="仿宋" w:hAnsi="仿宋" w:eastAsia="仿宋" w:cs="Times New Roman"/>
                <w:color w:val="000000"/>
                <w:kern w:val="2"/>
                <w:sz w:val="21"/>
                <w:szCs w:val="21"/>
              </w:rPr>
              <w:t>报纸、期刊作品如未在新媒体传播平台发布，可空缺。</w:t>
            </w:r>
          </w:p>
        </w:tc>
      </w:tr>
      <w:tr w14:paraId="0368C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trPr>
        <w:tc>
          <w:tcPr>
            <w:tcW w:w="706" w:type="dxa"/>
            <w:vMerge w:val="continue"/>
            <w:tcBorders>
              <w:top w:val="single" w:color="auto" w:sz="4" w:space="0"/>
              <w:left w:val="single" w:color="auto" w:sz="4" w:space="0"/>
              <w:bottom w:val="single" w:color="auto" w:sz="4" w:space="0"/>
              <w:right w:val="single" w:color="auto" w:sz="4" w:space="0"/>
            </w:tcBorders>
            <w:vAlign w:val="center"/>
          </w:tcPr>
          <w:p w14:paraId="1ED034DE">
            <w:pPr>
              <w:keepNext w:val="0"/>
              <w:keepLines w:val="0"/>
              <w:widowControl/>
              <w:suppressLineNumbers w:val="0"/>
              <w:autoSpaceDE/>
              <w:autoSpaceDN/>
              <w:spacing w:before="0" w:beforeAutospacing="0" w:after="0" w:afterAutospacing="0" w:line="300" w:lineRule="exact"/>
              <w:ind w:left="0" w:right="0"/>
              <w:rPr>
                <w:rFonts w:hint="eastAsia" w:ascii="华文中宋" w:hAnsi="华文中宋" w:eastAsia="华文中宋" w:cs="Times New Roman"/>
                <w:color w:val="000000"/>
                <w:kern w:val="2"/>
                <w:sz w:val="28"/>
              </w:rPr>
            </w:pPr>
          </w:p>
        </w:tc>
        <w:tc>
          <w:tcPr>
            <w:tcW w:w="854" w:type="dxa"/>
            <w:gridSpan w:val="5"/>
            <w:vMerge w:val="continue"/>
            <w:tcBorders>
              <w:top w:val="single" w:color="auto" w:sz="4" w:space="0"/>
              <w:left w:val="single" w:color="auto" w:sz="4" w:space="0"/>
              <w:bottom w:val="single" w:color="auto" w:sz="4" w:space="0"/>
              <w:right w:val="single" w:color="auto" w:sz="4" w:space="0"/>
            </w:tcBorders>
            <w:vAlign w:val="center"/>
          </w:tcPr>
          <w:p w14:paraId="153413B5">
            <w:pPr>
              <w:keepNext w:val="0"/>
              <w:keepLines w:val="0"/>
              <w:widowControl/>
              <w:suppressLineNumbers w:val="0"/>
              <w:autoSpaceDE/>
              <w:autoSpaceDN/>
              <w:spacing w:before="0" w:beforeAutospacing="0" w:after="0" w:afterAutospacing="0" w:line="300" w:lineRule="exact"/>
              <w:ind w:left="0" w:right="0"/>
              <w:rPr>
                <w:rFonts w:hint="eastAsia" w:ascii="仿宋" w:hAnsi="仿宋" w:eastAsia="仿宋" w:cs="仿宋"/>
                <w:color w:val="000000"/>
                <w:kern w:val="2"/>
                <w:sz w:val="21"/>
                <w:szCs w:val="21"/>
              </w:rPr>
            </w:pPr>
          </w:p>
        </w:tc>
        <w:tc>
          <w:tcPr>
            <w:tcW w:w="425" w:type="dxa"/>
            <w:tcBorders>
              <w:top w:val="single" w:color="auto" w:sz="4" w:space="0"/>
              <w:left w:val="single" w:color="auto" w:sz="4" w:space="0"/>
              <w:bottom w:val="single" w:color="auto" w:sz="4" w:space="0"/>
              <w:right w:val="single" w:color="auto" w:sz="4" w:space="0"/>
            </w:tcBorders>
            <w:vAlign w:val="center"/>
          </w:tcPr>
          <w:p w14:paraId="03EB0C30">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仿宋"/>
                <w:color w:val="000000"/>
                <w:kern w:val="2"/>
                <w:sz w:val="21"/>
                <w:szCs w:val="21"/>
              </w:rPr>
            </w:pPr>
            <w:r>
              <w:rPr>
                <w:rFonts w:hint="eastAsia" w:ascii="仿宋" w:hAnsi="仿宋" w:eastAsia="仿宋" w:cs="仿宋"/>
                <w:color w:val="000000"/>
                <w:kern w:val="2"/>
                <w:sz w:val="21"/>
                <w:szCs w:val="21"/>
              </w:rPr>
              <w:t>2</w:t>
            </w:r>
          </w:p>
        </w:tc>
        <w:tc>
          <w:tcPr>
            <w:tcW w:w="7371" w:type="dxa"/>
            <w:gridSpan w:val="17"/>
            <w:tcBorders>
              <w:top w:val="single" w:color="auto" w:sz="4" w:space="0"/>
              <w:left w:val="single" w:color="auto" w:sz="4" w:space="0"/>
              <w:bottom w:val="single" w:color="auto" w:sz="4" w:space="0"/>
              <w:right w:val="single" w:color="auto" w:sz="4" w:space="0"/>
            </w:tcBorders>
            <w:vAlign w:val="center"/>
          </w:tcPr>
          <w:p w14:paraId="2BAE9668">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r>
              <w:rPr>
                <w:rFonts w:hint="eastAsia" w:ascii="仿宋" w:hAnsi="仿宋" w:eastAsia="仿宋" w:cs="Times New Roman"/>
                <w:color w:val="000000"/>
                <w:kern w:val="2"/>
                <w:sz w:val="21"/>
                <w:szCs w:val="21"/>
              </w:rPr>
              <w:t xml:space="preserve">    </w:t>
            </w:r>
          </w:p>
        </w:tc>
      </w:tr>
      <w:tr w14:paraId="51D3C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exact"/>
        </w:trPr>
        <w:tc>
          <w:tcPr>
            <w:tcW w:w="706" w:type="dxa"/>
            <w:vMerge w:val="continue"/>
            <w:tcBorders>
              <w:top w:val="single" w:color="auto" w:sz="4" w:space="0"/>
              <w:left w:val="single" w:color="auto" w:sz="4" w:space="0"/>
              <w:bottom w:val="single" w:color="auto" w:sz="4" w:space="0"/>
              <w:right w:val="single" w:color="auto" w:sz="4" w:space="0"/>
            </w:tcBorders>
            <w:vAlign w:val="center"/>
          </w:tcPr>
          <w:p w14:paraId="7A27DF2E">
            <w:pPr>
              <w:keepNext w:val="0"/>
              <w:keepLines w:val="0"/>
              <w:widowControl/>
              <w:suppressLineNumbers w:val="0"/>
              <w:autoSpaceDE/>
              <w:autoSpaceDN/>
              <w:spacing w:before="0" w:beforeAutospacing="0" w:after="0" w:afterAutospacing="0" w:line="300" w:lineRule="exact"/>
              <w:ind w:left="0" w:right="0"/>
              <w:rPr>
                <w:rFonts w:hint="eastAsia" w:ascii="华文中宋" w:hAnsi="华文中宋" w:eastAsia="华文中宋" w:cs="Times New Roman"/>
                <w:color w:val="000000"/>
                <w:kern w:val="2"/>
                <w:sz w:val="28"/>
              </w:rPr>
            </w:pPr>
          </w:p>
        </w:tc>
        <w:tc>
          <w:tcPr>
            <w:tcW w:w="854" w:type="dxa"/>
            <w:gridSpan w:val="5"/>
            <w:vMerge w:val="continue"/>
            <w:tcBorders>
              <w:top w:val="single" w:color="auto" w:sz="4" w:space="0"/>
              <w:left w:val="single" w:color="auto" w:sz="4" w:space="0"/>
              <w:bottom w:val="single" w:color="auto" w:sz="4" w:space="0"/>
              <w:right w:val="single" w:color="auto" w:sz="4" w:space="0"/>
            </w:tcBorders>
            <w:vAlign w:val="center"/>
          </w:tcPr>
          <w:p w14:paraId="13994618">
            <w:pPr>
              <w:keepNext w:val="0"/>
              <w:keepLines w:val="0"/>
              <w:widowControl/>
              <w:suppressLineNumbers w:val="0"/>
              <w:autoSpaceDE/>
              <w:autoSpaceDN/>
              <w:spacing w:before="0" w:beforeAutospacing="0" w:after="0" w:afterAutospacing="0" w:line="300" w:lineRule="exact"/>
              <w:ind w:left="0" w:right="0"/>
              <w:rPr>
                <w:rFonts w:hint="eastAsia" w:ascii="仿宋" w:hAnsi="仿宋" w:eastAsia="仿宋" w:cs="仿宋"/>
                <w:color w:val="000000"/>
                <w:kern w:val="2"/>
                <w:sz w:val="21"/>
                <w:szCs w:val="21"/>
              </w:rPr>
            </w:pPr>
          </w:p>
        </w:tc>
        <w:tc>
          <w:tcPr>
            <w:tcW w:w="425" w:type="dxa"/>
            <w:tcBorders>
              <w:top w:val="single" w:color="auto" w:sz="4" w:space="0"/>
              <w:left w:val="single" w:color="auto" w:sz="4" w:space="0"/>
              <w:bottom w:val="single" w:color="auto" w:sz="4" w:space="0"/>
              <w:right w:val="single" w:color="auto" w:sz="4" w:space="0"/>
            </w:tcBorders>
            <w:vAlign w:val="center"/>
          </w:tcPr>
          <w:p w14:paraId="3DA2BC48">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仿宋"/>
                <w:color w:val="000000"/>
                <w:kern w:val="2"/>
                <w:sz w:val="21"/>
                <w:szCs w:val="21"/>
              </w:rPr>
            </w:pPr>
            <w:r>
              <w:rPr>
                <w:rFonts w:hint="eastAsia" w:ascii="仿宋" w:hAnsi="仿宋" w:eastAsia="仿宋" w:cs="仿宋"/>
                <w:color w:val="000000"/>
                <w:kern w:val="2"/>
                <w:sz w:val="21"/>
                <w:szCs w:val="21"/>
              </w:rPr>
              <w:t>3</w:t>
            </w:r>
          </w:p>
        </w:tc>
        <w:tc>
          <w:tcPr>
            <w:tcW w:w="7371" w:type="dxa"/>
            <w:gridSpan w:val="17"/>
            <w:tcBorders>
              <w:top w:val="single" w:color="auto" w:sz="4" w:space="0"/>
              <w:left w:val="single" w:color="auto" w:sz="4" w:space="0"/>
              <w:bottom w:val="single" w:color="auto" w:sz="4" w:space="0"/>
              <w:right w:val="single" w:color="auto" w:sz="4" w:space="0"/>
            </w:tcBorders>
            <w:vAlign w:val="center"/>
          </w:tcPr>
          <w:p w14:paraId="4B6A9D45">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p>
        </w:tc>
      </w:tr>
      <w:tr w14:paraId="707DB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exact"/>
        </w:trPr>
        <w:tc>
          <w:tcPr>
            <w:tcW w:w="706" w:type="dxa"/>
            <w:vMerge w:val="continue"/>
            <w:tcBorders>
              <w:top w:val="single" w:color="auto" w:sz="4" w:space="0"/>
              <w:left w:val="single" w:color="auto" w:sz="4" w:space="0"/>
              <w:bottom w:val="single" w:color="auto" w:sz="4" w:space="0"/>
              <w:right w:val="single" w:color="auto" w:sz="4" w:space="0"/>
            </w:tcBorders>
            <w:vAlign w:val="center"/>
          </w:tcPr>
          <w:p w14:paraId="65EFE7F8">
            <w:pPr>
              <w:keepNext w:val="0"/>
              <w:keepLines w:val="0"/>
              <w:widowControl/>
              <w:suppressLineNumbers w:val="0"/>
              <w:autoSpaceDE/>
              <w:autoSpaceDN/>
              <w:spacing w:before="0" w:beforeAutospacing="0" w:after="0" w:afterAutospacing="0" w:line="300" w:lineRule="exact"/>
              <w:ind w:left="0" w:right="0"/>
              <w:rPr>
                <w:rFonts w:hint="eastAsia" w:ascii="华文中宋" w:hAnsi="华文中宋" w:eastAsia="华文中宋" w:cs="Times New Roman"/>
                <w:color w:val="000000"/>
                <w:kern w:val="2"/>
                <w:sz w:val="28"/>
              </w:rPr>
            </w:pPr>
          </w:p>
        </w:tc>
        <w:tc>
          <w:tcPr>
            <w:tcW w:w="2838" w:type="dxa"/>
            <w:gridSpan w:val="9"/>
            <w:tcBorders>
              <w:top w:val="single" w:color="auto" w:sz="4" w:space="0"/>
              <w:left w:val="single" w:color="auto" w:sz="4" w:space="0"/>
              <w:bottom w:val="single" w:color="auto" w:sz="4" w:space="0"/>
              <w:right w:val="single" w:color="auto" w:sz="4" w:space="0"/>
            </w:tcBorders>
            <w:vAlign w:val="center"/>
          </w:tcPr>
          <w:p w14:paraId="1B18DB11">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r>
              <w:rPr>
                <w:rFonts w:hint="eastAsia" w:ascii="仿宋" w:hAnsi="仿宋" w:eastAsia="仿宋" w:cs="仿宋"/>
                <w:color w:val="000000"/>
                <w:kern w:val="2"/>
                <w:sz w:val="21"/>
                <w:szCs w:val="21"/>
              </w:rPr>
              <w:t>阅读量（浏览量、点击量）</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4BDEF06C">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p>
        </w:tc>
        <w:tc>
          <w:tcPr>
            <w:tcW w:w="992" w:type="dxa"/>
            <w:gridSpan w:val="2"/>
            <w:tcBorders>
              <w:top w:val="single" w:color="auto" w:sz="4" w:space="0"/>
              <w:left w:val="single" w:color="auto" w:sz="4" w:space="0"/>
              <w:bottom w:val="single" w:color="auto" w:sz="4" w:space="0"/>
              <w:right w:val="single" w:color="auto" w:sz="4" w:space="0"/>
            </w:tcBorders>
            <w:vAlign w:val="center"/>
          </w:tcPr>
          <w:p w14:paraId="6F22CAC8">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r>
              <w:rPr>
                <w:rFonts w:hint="eastAsia" w:ascii="仿宋" w:hAnsi="仿宋" w:eastAsia="仿宋" w:cs="仿宋"/>
                <w:color w:val="000000"/>
                <w:kern w:val="2"/>
                <w:sz w:val="21"/>
                <w:szCs w:val="21"/>
              </w:rPr>
              <w:t>转载量</w:t>
            </w:r>
          </w:p>
        </w:tc>
        <w:tc>
          <w:tcPr>
            <w:tcW w:w="1417" w:type="dxa"/>
            <w:gridSpan w:val="5"/>
            <w:tcBorders>
              <w:top w:val="single" w:color="auto" w:sz="4" w:space="0"/>
              <w:left w:val="single" w:color="auto" w:sz="4" w:space="0"/>
              <w:bottom w:val="single" w:color="auto" w:sz="4" w:space="0"/>
              <w:right w:val="single" w:color="auto" w:sz="4" w:space="0"/>
            </w:tcBorders>
            <w:vAlign w:val="center"/>
          </w:tcPr>
          <w:p w14:paraId="0A3EAEC2">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p>
        </w:tc>
        <w:tc>
          <w:tcPr>
            <w:tcW w:w="993" w:type="dxa"/>
            <w:gridSpan w:val="3"/>
            <w:tcBorders>
              <w:top w:val="single" w:color="auto" w:sz="4" w:space="0"/>
              <w:left w:val="single" w:color="auto" w:sz="4" w:space="0"/>
              <w:bottom w:val="single" w:color="auto" w:sz="4" w:space="0"/>
              <w:right w:val="single" w:color="auto" w:sz="4" w:space="0"/>
            </w:tcBorders>
            <w:vAlign w:val="center"/>
          </w:tcPr>
          <w:p w14:paraId="4B7AB38B">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r>
              <w:rPr>
                <w:rFonts w:hint="eastAsia" w:ascii="仿宋" w:hAnsi="仿宋" w:eastAsia="仿宋" w:cs="仿宋"/>
                <w:color w:val="000000"/>
                <w:kern w:val="2"/>
                <w:sz w:val="21"/>
                <w:szCs w:val="21"/>
              </w:rPr>
              <w:t>互动量</w:t>
            </w:r>
          </w:p>
        </w:tc>
        <w:tc>
          <w:tcPr>
            <w:tcW w:w="992" w:type="dxa"/>
            <w:gridSpan w:val="2"/>
            <w:tcBorders>
              <w:top w:val="single" w:color="auto" w:sz="4" w:space="0"/>
              <w:left w:val="single" w:color="auto" w:sz="4" w:space="0"/>
              <w:bottom w:val="single" w:color="auto" w:sz="4" w:space="0"/>
              <w:right w:val="single" w:color="auto" w:sz="4" w:space="0"/>
            </w:tcBorders>
            <w:vAlign w:val="center"/>
          </w:tcPr>
          <w:p w14:paraId="1FFF3D49">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p>
        </w:tc>
      </w:tr>
      <w:tr w14:paraId="6065D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9" w:hRule="exact"/>
        </w:trPr>
        <w:tc>
          <w:tcPr>
            <w:tcW w:w="1441" w:type="dxa"/>
            <w:gridSpan w:val="5"/>
            <w:tcBorders>
              <w:bottom w:val="single" w:color="auto" w:sz="4" w:space="0"/>
            </w:tcBorders>
            <w:vAlign w:val="center"/>
          </w:tcPr>
          <w:p w14:paraId="3EF99E8F">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推荐理由</w:t>
            </w:r>
          </w:p>
        </w:tc>
        <w:tc>
          <w:tcPr>
            <w:tcW w:w="7915" w:type="dxa"/>
            <w:gridSpan w:val="19"/>
            <w:tcBorders>
              <w:bottom w:val="single" w:color="auto" w:sz="4" w:space="0"/>
            </w:tcBorders>
            <w:vAlign w:val="center"/>
          </w:tcPr>
          <w:p w14:paraId="0442DF40">
            <w:pPr>
              <w:keepNext w:val="0"/>
              <w:keepLines w:val="0"/>
              <w:suppressLineNumbers w:val="0"/>
              <w:autoSpaceDE/>
              <w:autoSpaceDN/>
              <w:spacing w:before="0" w:beforeAutospacing="0" w:after="0" w:afterAutospacing="0" w:line="300" w:lineRule="exact"/>
              <w:ind w:left="0" w:right="0" w:firstLine="392" w:firstLineChars="200"/>
              <w:jc w:val="both"/>
              <w:rPr>
                <w:rFonts w:hint="default" w:ascii="仿宋" w:hAnsi="仿宋" w:eastAsia="仿宋" w:cs="Times New Roman"/>
                <w:color w:val="000000"/>
                <w:w w:val="95"/>
                <w:sz w:val="21"/>
                <w:szCs w:val="21"/>
                <w:lang w:val="en-US" w:eastAsia="zh-CN"/>
              </w:rPr>
            </w:pPr>
            <w:r>
              <w:rPr>
                <w:rFonts w:hint="default" w:ascii="仿宋" w:hAnsi="仿宋" w:eastAsia="仿宋" w:cs="Times New Roman"/>
                <w:color w:val="000000"/>
                <w:w w:val="95"/>
                <w:sz w:val="21"/>
                <w:szCs w:val="21"/>
                <w:lang w:val="en-US" w:eastAsia="zh-CN"/>
              </w:rPr>
              <w:t>该论文选题紧扣时代前沿，将理论研究与一线实践紧密结合，创新性地通过对一个成功融媒案例的深度解构，回应了典型报道如何适应融媒体生态的重大课题。论证过程扎实，逻辑清晰，所归纳的策略具体可行，兼具理论价值和实践指导意义，对推动新闻业务创新与融合发展具有积极的参考价值。</w:t>
            </w:r>
          </w:p>
          <w:p w14:paraId="02865DA7">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r>
              <w:rPr>
                <w:rFonts w:hint="eastAsia" w:ascii="仿宋" w:hAnsi="仿宋" w:eastAsia="仿宋" w:cs="Times New Roman"/>
                <w:color w:val="000000"/>
                <w:spacing w:val="-2"/>
                <w:kern w:val="2"/>
                <w:sz w:val="21"/>
                <w:szCs w:val="21"/>
              </w:rPr>
              <w:t xml:space="preserve">             单位主要负责人签名：</w:t>
            </w:r>
            <w:r>
              <w:rPr>
                <w:rFonts w:hint="eastAsia" w:ascii="仿宋" w:hAnsi="仿宋" w:eastAsia="仿宋" w:cs="Times New Roman"/>
                <w:color w:val="000000"/>
                <w:spacing w:val="-2"/>
                <w:kern w:val="2"/>
                <w:sz w:val="21"/>
                <w:szCs w:val="21"/>
                <w:lang w:val="en-US" w:eastAsia="zh-CN"/>
              </w:rPr>
              <w:t xml:space="preserve">                     </w:t>
            </w:r>
            <w:r>
              <w:rPr>
                <w:rFonts w:hint="eastAsia" w:ascii="仿宋" w:hAnsi="仿宋" w:eastAsia="仿宋" w:cs="Times New Roman"/>
                <w:color w:val="000000"/>
                <w:kern w:val="2"/>
                <w:sz w:val="21"/>
                <w:szCs w:val="21"/>
              </w:rPr>
              <w:t>（盖单位公章）</w:t>
            </w:r>
          </w:p>
          <w:p w14:paraId="6E7D8F99">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r>
              <w:rPr>
                <w:rFonts w:hint="eastAsia" w:ascii="仿宋" w:hAnsi="仿宋" w:eastAsia="仿宋" w:cs="Times New Roman"/>
                <w:color w:val="000000"/>
                <w:kern w:val="2"/>
                <w:sz w:val="21"/>
                <w:szCs w:val="21"/>
              </w:rPr>
              <w:t xml:space="preserve">                                              </w:t>
            </w:r>
            <w:r>
              <w:rPr>
                <w:rFonts w:hint="eastAsia" w:ascii="仿宋" w:hAnsi="仿宋" w:eastAsia="仿宋" w:cs="Times New Roman"/>
                <w:color w:val="000000"/>
                <w:kern w:val="2"/>
                <w:sz w:val="21"/>
                <w:szCs w:val="21"/>
                <w:lang w:val="en-US" w:eastAsia="zh-CN"/>
              </w:rPr>
              <w:t xml:space="preserve">     </w:t>
            </w:r>
            <w:r>
              <w:rPr>
                <w:rFonts w:hint="eastAsia" w:ascii="仿宋" w:hAnsi="仿宋" w:eastAsia="仿宋" w:cs="Times New Roman"/>
                <w:color w:val="000000"/>
                <w:kern w:val="2"/>
                <w:sz w:val="21"/>
                <w:szCs w:val="21"/>
              </w:rPr>
              <w:t xml:space="preserve"> </w:t>
            </w:r>
            <w:r>
              <w:rPr>
                <w:rFonts w:hint="eastAsia" w:ascii="仿宋" w:hAnsi="仿宋" w:eastAsia="仿宋" w:cs="Times New Roman"/>
                <w:color w:val="000000"/>
                <w:kern w:val="2"/>
                <w:sz w:val="21"/>
                <w:szCs w:val="21"/>
                <w:lang w:val="en-US" w:eastAsia="zh-CN"/>
              </w:rPr>
              <w:t>2026</w:t>
            </w:r>
            <w:r>
              <w:rPr>
                <w:rFonts w:hint="eastAsia" w:ascii="仿宋" w:hAnsi="仿宋" w:eastAsia="仿宋" w:cs="Times New Roman"/>
                <w:color w:val="000000"/>
                <w:kern w:val="2"/>
                <w:sz w:val="21"/>
                <w:szCs w:val="21"/>
              </w:rPr>
              <w:t xml:space="preserve"> </w:t>
            </w:r>
            <w:r>
              <w:rPr>
                <w:rFonts w:hint="default" w:ascii="仿宋" w:hAnsi="仿宋" w:eastAsia="仿宋" w:cs="Times New Roman"/>
                <w:color w:val="000000"/>
                <w:kern w:val="2"/>
                <w:sz w:val="21"/>
                <w:szCs w:val="21"/>
              </w:rPr>
              <w:t>年</w:t>
            </w:r>
            <w:r>
              <w:rPr>
                <w:rFonts w:hint="eastAsia" w:ascii="仿宋" w:hAnsi="仿宋" w:eastAsia="仿宋" w:cs="Times New Roman"/>
                <w:color w:val="000000"/>
                <w:kern w:val="2"/>
                <w:sz w:val="21"/>
                <w:szCs w:val="21"/>
                <w:lang w:val="en-US" w:eastAsia="zh-CN"/>
              </w:rPr>
              <w:t>1</w:t>
            </w:r>
            <w:r>
              <w:rPr>
                <w:rFonts w:hint="eastAsia" w:ascii="仿宋" w:hAnsi="仿宋" w:eastAsia="仿宋" w:cs="Times New Roman"/>
                <w:color w:val="000000"/>
                <w:kern w:val="2"/>
                <w:sz w:val="21"/>
                <w:szCs w:val="21"/>
              </w:rPr>
              <w:t>月</w:t>
            </w:r>
            <w:r>
              <w:rPr>
                <w:rFonts w:hint="eastAsia" w:ascii="仿宋" w:hAnsi="仿宋" w:eastAsia="仿宋" w:cs="Times New Roman"/>
                <w:color w:val="000000"/>
                <w:kern w:val="2"/>
                <w:sz w:val="21"/>
                <w:szCs w:val="21"/>
                <w:lang w:val="en-US" w:eastAsia="zh-CN"/>
              </w:rPr>
              <w:t>6</w:t>
            </w:r>
            <w:r>
              <w:rPr>
                <w:rFonts w:hint="eastAsia" w:ascii="仿宋" w:hAnsi="仿宋" w:eastAsia="仿宋" w:cs="Times New Roman"/>
                <w:color w:val="000000"/>
                <w:kern w:val="2"/>
                <w:sz w:val="21"/>
                <w:szCs w:val="21"/>
              </w:rPr>
              <w:t>日</w:t>
            </w:r>
          </w:p>
        </w:tc>
      </w:tr>
      <w:tr w14:paraId="287EE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3" w:hRule="exact"/>
        </w:trPr>
        <w:tc>
          <w:tcPr>
            <w:tcW w:w="987" w:type="dxa"/>
            <w:gridSpan w:val="3"/>
            <w:tcBorders>
              <w:top w:val="single" w:color="auto" w:sz="4" w:space="0"/>
              <w:bottom w:val="single" w:color="auto" w:sz="4" w:space="0"/>
            </w:tcBorders>
            <w:vAlign w:val="center"/>
          </w:tcPr>
          <w:p w14:paraId="4617FC61">
            <w:pPr>
              <w:keepNext w:val="0"/>
              <w:keepLines w:val="0"/>
              <w:suppressLineNumbers w:val="0"/>
              <w:autoSpaceDE/>
              <w:autoSpaceDN/>
              <w:spacing w:before="0" w:beforeAutospacing="0" w:after="0" w:afterAutospacing="0" w:line="300" w:lineRule="exact"/>
              <w:ind w:left="0" w:right="0"/>
              <w:jc w:val="center"/>
              <w:rPr>
                <w:rFonts w:hint="eastAsia" w:ascii="华文中宋" w:hAnsi="华文中宋" w:eastAsia="华文中宋" w:cs="Times New Roman"/>
                <w:color w:val="000000"/>
                <w:kern w:val="2"/>
                <w:sz w:val="28"/>
              </w:rPr>
            </w:pPr>
            <w:r>
              <w:rPr>
                <w:rFonts w:hint="eastAsia" w:ascii="华文中宋" w:hAnsi="华文中宋" w:eastAsia="华文中宋" w:cs="Times New Roman"/>
                <w:color w:val="000000"/>
                <w:kern w:val="2"/>
                <w:sz w:val="28"/>
              </w:rPr>
              <w:t>作者</w:t>
            </w:r>
          </w:p>
        </w:tc>
        <w:tc>
          <w:tcPr>
            <w:tcW w:w="1565" w:type="dxa"/>
            <w:gridSpan w:val="6"/>
            <w:tcBorders>
              <w:top w:val="single" w:color="auto" w:sz="4" w:space="0"/>
              <w:bottom w:val="single" w:color="auto" w:sz="4" w:space="0"/>
            </w:tcBorders>
            <w:vAlign w:val="center"/>
          </w:tcPr>
          <w:p w14:paraId="2FC2AF92">
            <w:pPr>
              <w:keepNext w:val="0"/>
              <w:keepLines w:val="0"/>
              <w:suppressLineNumbers w:val="0"/>
              <w:autoSpaceDE/>
              <w:autoSpaceDN/>
              <w:spacing w:before="0" w:beforeAutospacing="0" w:after="0" w:afterAutospacing="0" w:line="300" w:lineRule="exact"/>
              <w:ind w:left="0" w:right="0"/>
              <w:jc w:val="both"/>
              <w:rPr>
                <w:rFonts w:hint="default" w:ascii="仿宋" w:hAnsi="仿宋" w:eastAsia="仿宋" w:cs="Times New Roman"/>
                <w:color w:val="000000"/>
                <w:kern w:val="2"/>
                <w:sz w:val="32"/>
                <w:szCs w:val="21"/>
                <w:lang w:val="en-US" w:eastAsia="zh-CN"/>
              </w:rPr>
            </w:pPr>
            <w:r>
              <w:rPr>
                <w:rFonts w:hint="eastAsia" w:ascii="仿宋" w:hAnsi="仿宋" w:eastAsia="仿宋" w:cs="Times New Roman"/>
                <w:color w:val="000000"/>
                <w:kern w:val="2"/>
                <w:sz w:val="21"/>
                <w:szCs w:val="21"/>
                <w:lang w:val="en-US" w:eastAsia="zh-CN"/>
              </w:rPr>
              <w:t>祝卫明</w:t>
            </w:r>
          </w:p>
        </w:tc>
        <w:tc>
          <w:tcPr>
            <w:tcW w:w="992" w:type="dxa"/>
            <w:tcBorders>
              <w:top w:val="single" w:color="auto" w:sz="4" w:space="0"/>
              <w:bottom w:val="single" w:color="auto" w:sz="4" w:space="0"/>
            </w:tcBorders>
            <w:vAlign w:val="center"/>
          </w:tcPr>
          <w:p w14:paraId="788859F0">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32"/>
                <w:szCs w:val="21"/>
              </w:rPr>
            </w:pPr>
            <w:r>
              <w:rPr>
                <w:rFonts w:hint="eastAsia" w:ascii="华文中宋" w:hAnsi="华文中宋" w:eastAsia="华文中宋" w:cs="Times New Roman"/>
                <w:color w:val="000000"/>
                <w:kern w:val="2"/>
                <w:sz w:val="28"/>
              </w:rPr>
              <w:t>单位</w:t>
            </w:r>
          </w:p>
        </w:tc>
        <w:tc>
          <w:tcPr>
            <w:tcW w:w="2693" w:type="dxa"/>
            <w:gridSpan w:val="6"/>
            <w:tcBorders>
              <w:top w:val="single" w:color="auto" w:sz="4" w:space="0"/>
              <w:bottom w:val="single" w:color="auto" w:sz="4" w:space="0"/>
            </w:tcBorders>
            <w:vAlign w:val="center"/>
          </w:tcPr>
          <w:p w14:paraId="7A0FCE36">
            <w:pPr>
              <w:keepNext w:val="0"/>
              <w:keepLines w:val="0"/>
              <w:suppressLineNumbers w:val="0"/>
              <w:autoSpaceDE/>
              <w:autoSpaceDN/>
              <w:spacing w:before="0" w:beforeAutospacing="0" w:after="0" w:afterAutospacing="0" w:line="300" w:lineRule="exact"/>
              <w:ind w:left="0" w:right="0"/>
              <w:jc w:val="both"/>
              <w:rPr>
                <w:rFonts w:hint="default" w:ascii="仿宋" w:hAnsi="仿宋" w:eastAsia="仿宋" w:cs="Times New Roman"/>
                <w:color w:val="000000"/>
                <w:kern w:val="2"/>
                <w:sz w:val="21"/>
                <w:szCs w:val="21"/>
                <w:lang w:val="en-US" w:eastAsia="zh-CN"/>
              </w:rPr>
            </w:pPr>
            <w:r>
              <w:rPr>
                <w:rFonts w:hint="eastAsia" w:ascii="仿宋" w:hAnsi="仿宋" w:eastAsia="仿宋" w:cs="Times New Roman"/>
                <w:color w:val="000000"/>
                <w:kern w:val="2"/>
                <w:sz w:val="21"/>
                <w:szCs w:val="21"/>
                <w:lang w:val="en-US" w:eastAsia="zh-CN"/>
              </w:rPr>
              <w:t>鹰潭市融媒体中心</w:t>
            </w:r>
          </w:p>
        </w:tc>
        <w:tc>
          <w:tcPr>
            <w:tcW w:w="993" w:type="dxa"/>
            <w:gridSpan w:val="2"/>
            <w:tcBorders>
              <w:top w:val="single" w:color="auto" w:sz="4" w:space="0"/>
              <w:bottom w:val="single" w:color="auto" w:sz="4" w:space="0"/>
            </w:tcBorders>
            <w:vAlign w:val="center"/>
          </w:tcPr>
          <w:p w14:paraId="0E55A94A">
            <w:pPr>
              <w:keepNext w:val="0"/>
              <w:keepLines w:val="0"/>
              <w:suppressLineNumbers w:val="0"/>
              <w:autoSpaceDE/>
              <w:autoSpaceDN/>
              <w:spacing w:before="0" w:beforeAutospacing="0" w:after="0" w:afterAutospacing="0" w:line="300" w:lineRule="exact"/>
              <w:ind w:left="0" w:right="0"/>
              <w:jc w:val="both"/>
              <w:rPr>
                <w:rFonts w:hint="eastAsia" w:ascii="仿宋" w:hAnsi="仿宋" w:eastAsia="仿宋" w:cs="Times New Roman"/>
                <w:color w:val="000000"/>
                <w:kern w:val="2"/>
                <w:sz w:val="21"/>
                <w:szCs w:val="21"/>
              </w:rPr>
            </w:pPr>
            <w:r>
              <w:rPr>
                <w:rFonts w:hint="eastAsia" w:ascii="华文中宋" w:hAnsi="华文中宋" w:eastAsia="华文中宋" w:cs="Times New Roman"/>
                <w:color w:val="000000"/>
                <w:kern w:val="2"/>
                <w:sz w:val="28"/>
              </w:rPr>
              <w:t>手机</w:t>
            </w:r>
          </w:p>
        </w:tc>
        <w:tc>
          <w:tcPr>
            <w:tcW w:w="2126" w:type="dxa"/>
            <w:gridSpan w:val="6"/>
            <w:tcBorders>
              <w:top w:val="single" w:color="auto" w:sz="4" w:space="0"/>
              <w:bottom w:val="single" w:color="auto" w:sz="4" w:space="0"/>
            </w:tcBorders>
            <w:vAlign w:val="center"/>
          </w:tcPr>
          <w:p w14:paraId="13356388">
            <w:pPr>
              <w:keepNext w:val="0"/>
              <w:keepLines w:val="0"/>
              <w:suppressLineNumbers w:val="0"/>
              <w:autoSpaceDE/>
              <w:autoSpaceDN/>
              <w:spacing w:before="0" w:beforeAutospacing="0" w:after="0" w:afterAutospacing="0" w:line="300" w:lineRule="exact"/>
              <w:ind w:left="0" w:right="0"/>
              <w:jc w:val="both"/>
              <w:rPr>
                <w:rFonts w:hint="default" w:ascii="仿宋" w:hAnsi="仿宋" w:eastAsia="仿宋" w:cs="Times New Roman"/>
                <w:color w:val="000000"/>
                <w:kern w:val="2"/>
                <w:sz w:val="21"/>
                <w:szCs w:val="21"/>
                <w:lang w:val="en-US" w:eastAsia="zh-CN"/>
              </w:rPr>
            </w:pPr>
            <w:r>
              <w:rPr>
                <w:rFonts w:hint="eastAsia" w:ascii="仿宋" w:hAnsi="仿宋" w:eastAsia="仿宋" w:cs="Times New Roman"/>
                <w:color w:val="000000"/>
                <w:kern w:val="2"/>
                <w:sz w:val="21"/>
                <w:szCs w:val="21"/>
                <w:lang w:val="en-US" w:eastAsia="zh-CN"/>
              </w:rPr>
              <w:t>13907017874</w:t>
            </w:r>
          </w:p>
        </w:tc>
      </w:tr>
    </w:tbl>
    <w:p w14:paraId="16FD768C">
      <w:pPr>
        <w:widowControl/>
        <w:autoSpaceDE/>
        <w:autoSpaceDN/>
        <w:spacing w:before="120" w:beforeLines="50" w:after="120" w:afterLines="50" w:line="560" w:lineRule="exact"/>
        <w:jc w:val="both"/>
        <w:rPr>
          <w:rFonts w:ascii="Calibri" w:hAnsi="Calibri" w:eastAsia="仿宋" w:cs="Times New Roman"/>
          <w:kern w:val="2"/>
          <w:sz w:val="28"/>
          <w:szCs w:val="24"/>
        </w:rPr>
      </w:pPr>
      <w:r>
        <w:rPr>
          <w:rFonts w:hint="eastAsia" w:ascii="仿宋" w:hAnsi="仿宋" w:eastAsia="仿宋" w:cs="CESI仿宋-GB2312"/>
          <w:kern w:val="2"/>
          <w:sz w:val="18"/>
          <w:szCs w:val="18"/>
        </w:rPr>
        <w:t>为了规范统一，按照提示填写。不要改变表格格式、字体字号，填写内容用仿宋5号字体。</w:t>
      </w:r>
    </w:p>
    <w:p w14:paraId="217365DD"/>
    <w:p w14:paraId="469E40C5">
      <w:pPr>
        <w:widowControl/>
        <w:spacing w:line="240" w:lineRule="auto"/>
        <w:rPr>
          <w:rFonts w:hint="eastAsia" w:ascii="仿宋" w:hAnsi="仿宋" w:eastAsia="仿宋" w:cs="CESI仿宋-GB2312"/>
          <w:sz w:val="28"/>
          <w:szCs w:val="28"/>
          <w:lang w:eastAsia="zh-CN"/>
        </w:rPr>
      </w:pPr>
      <w:r>
        <w:rPr>
          <w:rFonts w:hint="eastAsia" w:ascii="仿宋" w:hAnsi="仿宋" w:eastAsia="仿宋" w:cs="CESI仿宋-GB2312"/>
          <w:sz w:val="28"/>
          <w:szCs w:val="28"/>
          <w:lang w:eastAsia="zh-CN"/>
        </w:rPr>
        <w:drawing>
          <wp:inline distT="0" distB="0" distL="114300" distR="114300">
            <wp:extent cx="5269865" cy="7491730"/>
            <wp:effectExtent l="0" t="0" r="6985" b="13970"/>
            <wp:docPr id="10" name="图片 10" descr="论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论文1"/>
                    <pic:cNvPicPr>
                      <a:picLocks noChangeAspect="1"/>
                    </pic:cNvPicPr>
                  </pic:nvPicPr>
                  <pic:blipFill>
                    <a:blip r:embed="rId4"/>
                    <a:stretch>
                      <a:fillRect/>
                    </a:stretch>
                  </pic:blipFill>
                  <pic:spPr>
                    <a:xfrm>
                      <a:off x="0" y="0"/>
                      <a:ext cx="5269865" cy="7491730"/>
                    </a:xfrm>
                    <a:prstGeom prst="rect">
                      <a:avLst/>
                    </a:prstGeom>
                  </pic:spPr>
                </pic:pic>
              </a:graphicData>
            </a:graphic>
          </wp:inline>
        </w:drawing>
      </w:r>
      <w:r>
        <w:rPr>
          <w:rFonts w:hint="eastAsia" w:ascii="仿宋" w:hAnsi="仿宋" w:eastAsia="仿宋" w:cs="CESI仿宋-GB2312"/>
          <w:sz w:val="28"/>
          <w:szCs w:val="28"/>
          <w:lang w:eastAsia="zh-CN"/>
        </w:rPr>
        <w:drawing>
          <wp:inline distT="0" distB="0" distL="114300" distR="114300">
            <wp:extent cx="5273040" cy="7468870"/>
            <wp:effectExtent l="0" t="0" r="3810" b="17780"/>
            <wp:docPr id="9" name="图片 9" descr="论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论文2"/>
                    <pic:cNvPicPr>
                      <a:picLocks noChangeAspect="1"/>
                    </pic:cNvPicPr>
                  </pic:nvPicPr>
                  <pic:blipFill>
                    <a:blip r:embed="rId5"/>
                    <a:stretch>
                      <a:fillRect/>
                    </a:stretch>
                  </pic:blipFill>
                  <pic:spPr>
                    <a:xfrm>
                      <a:off x="0" y="0"/>
                      <a:ext cx="5273040" cy="7468870"/>
                    </a:xfrm>
                    <a:prstGeom prst="rect">
                      <a:avLst/>
                    </a:prstGeom>
                  </pic:spPr>
                </pic:pic>
              </a:graphicData>
            </a:graphic>
          </wp:inline>
        </w:drawing>
      </w:r>
      <w:r>
        <w:rPr>
          <w:rFonts w:hint="eastAsia" w:ascii="仿宋" w:hAnsi="仿宋" w:eastAsia="仿宋" w:cs="CESI仿宋-GB2312"/>
          <w:sz w:val="28"/>
          <w:szCs w:val="28"/>
          <w:lang w:eastAsia="zh-CN"/>
        </w:rPr>
        <w:drawing>
          <wp:inline distT="0" distB="0" distL="114300" distR="114300">
            <wp:extent cx="5269230" cy="7753985"/>
            <wp:effectExtent l="0" t="0" r="7620" b="18415"/>
            <wp:docPr id="8" name="图片 8" descr="论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论文3"/>
                    <pic:cNvPicPr>
                      <a:picLocks noChangeAspect="1"/>
                    </pic:cNvPicPr>
                  </pic:nvPicPr>
                  <pic:blipFill>
                    <a:blip r:embed="rId6"/>
                    <a:stretch>
                      <a:fillRect/>
                    </a:stretch>
                  </pic:blipFill>
                  <pic:spPr>
                    <a:xfrm>
                      <a:off x="0" y="0"/>
                      <a:ext cx="5269230" cy="7753985"/>
                    </a:xfrm>
                    <a:prstGeom prst="rect">
                      <a:avLst/>
                    </a:prstGeom>
                  </pic:spPr>
                </pic:pic>
              </a:graphicData>
            </a:graphic>
          </wp:inline>
        </w:drawing>
      </w:r>
      <w:r>
        <w:rPr>
          <w:rFonts w:hint="eastAsia" w:ascii="仿宋" w:hAnsi="仿宋" w:eastAsia="仿宋" w:cs="CESI仿宋-GB2312"/>
          <w:sz w:val="28"/>
          <w:szCs w:val="28"/>
          <w:lang w:eastAsia="zh-CN"/>
        </w:rPr>
        <w:drawing>
          <wp:inline distT="0" distB="0" distL="114300" distR="114300">
            <wp:extent cx="5274310" cy="7174865"/>
            <wp:effectExtent l="0" t="0" r="2540" b="6985"/>
            <wp:docPr id="7" name="图片 7" descr="论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论文4"/>
                    <pic:cNvPicPr>
                      <a:picLocks noChangeAspect="1"/>
                    </pic:cNvPicPr>
                  </pic:nvPicPr>
                  <pic:blipFill>
                    <a:blip r:embed="rId7"/>
                    <a:stretch>
                      <a:fillRect/>
                    </a:stretch>
                  </pic:blipFill>
                  <pic:spPr>
                    <a:xfrm>
                      <a:off x="0" y="0"/>
                      <a:ext cx="5274310" cy="7174865"/>
                    </a:xfrm>
                    <a:prstGeom prst="rect">
                      <a:avLst/>
                    </a:prstGeom>
                  </pic:spPr>
                </pic:pic>
              </a:graphicData>
            </a:graphic>
          </wp:inline>
        </w:drawing>
      </w:r>
      <w:r>
        <w:rPr>
          <w:rFonts w:hint="eastAsia" w:ascii="仿宋" w:hAnsi="仿宋" w:eastAsia="仿宋" w:cs="CESI仿宋-GB2312"/>
          <w:sz w:val="28"/>
          <w:szCs w:val="28"/>
          <w:lang w:eastAsia="zh-CN"/>
        </w:rPr>
        <w:drawing>
          <wp:inline distT="0" distB="0" distL="114300" distR="114300">
            <wp:extent cx="5272405" cy="7014845"/>
            <wp:effectExtent l="0" t="0" r="4445" b="14605"/>
            <wp:docPr id="6" name="图片 6" descr="论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论文5"/>
                    <pic:cNvPicPr>
                      <a:picLocks noChangeAspect="1"/>
                    </pic:cNvPicPr>
                  </pic:nvPicPr>
                  <pic:blipFill>
                    <a:blip r:embed="rId8"/>
                    <a:stretch>
                      <a:fillRect/>
                    </a:stretch>
                  </pic:blipFill>
                  <pic:spPr>
                    <a:xfrm>
                      <a:off x="0" y="0"/>
                      <a:ext cx="5272405" cy="7014845"/>
                    </a:xfrm>
                    <a:prstGeom prst="rect">
                      <a:avLst/>
                    </a:prstGeom>
                  </pic:spPr>
                </pic:pic>
              </a:graphicData>
            </a:graphic>
          </wp:inline>
        </w:drawing>
      </w:r>
    </w:p>
    <w:p w14:paraId="64BFE6E9">
      <w:pPr>
        <w:widowControl/>
        <w:spacing w:line="560" w:lineRule="exact"/>
        <w:rPr>
          <w:rFonts w:hint="eastAsia" w:ascii="仿宋" w:hAnsi="仿宋" w:eastAsia="仿宋" w:cs="CESI仿宋-GB2312"/>
          <w:sz w:val="28"/>
          <w:szCs w:val="28"/>
          <w:lang w:eastAsia="zh-CN"/>
        </w:rPr>
      </w:pPr>
    </w:p>
    <w:p w14:paraId="29738F17">
      <w:pPr>
        <w:widowControl/>
        <w:spacing w:line="560" w:lineRule="exact"/>
        <w:rPr>
          <w:rFonts w:hint="eastAsia" w:ascii="仿宋" w:hAnsi="仿宋" w:eastAsia="仿宋" w:cs="CESI仿宋-GB2312"/>
          <w:sz w:val="28"/>
          <w:szCs w:val="28"/>
          <w:lang w:eastAsia="zh-CN"/>
        </w:rPr>
      </w:pPr>
    </w:p>
    <w:p w14:paraId="197976FA">
      <w:pPr>
        <w:widowControl/>
        <w:spacing w:line="560" w:lineRule="exact"/>
        <w:rPr>
          <w:rFonts w:hint="eastAsia" w:ascii="仿宋" w:hAnsi="仿宋" w:eastAsia="仿宋" w:cs="CESI仿宋-GB2312"/>
          <w:sz w:val="28"/>
          <w:szCs w:val="28"/>
          <w:lang w:eastAsia="zh-CN"/>
        </w:rPr>
      </w:pPr>
    </w:p>
    <w:p w14:paraId="4278CC4D">
      <w:pPr>
        <w:widowControl/>
        <w:spacing w:line="560" w:lineRule="exact"/>
        <w:rPr>
          <w:rFonts w:hint="eastAsia" w:ascii="仿宋" w:hAnsi="仿宋" w:eastAsia="仿宋" w:cs="CESI仿宋-GB2312"/>
          <w:sz w:val="28"/>
          <w:szCs w:val="28"/>
          <w:lang w:eastAsia="zh-CN"/>
        </w:rPr>
      </w:pPr>
    </w:p>
    <w:p w14:paraId="52140BEE">
      <w:pPr>
        <w:widowControl/>
        <w:spacing w:line="560" w:lineRule="exact"/>
        <w:rPr>
          <w:rFonts w:hint="eastAsia" w:ascii="仿宋" w:hAnsi="仿宋" w:eastAsia="仿宋" w:cs="CESI仿宋-GB2312"/>
          <w:szCs w:val="28"/>
          <w:lang w:eastAsia="zh-CN"/>
        </w:rPr>
      </w:pPr>
    </w:p>
    <w:p w14:paraId="5B853E54">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仿宋" w:hAnsi="仿宋" w:eastAsia="仿宋" w:cs="CESI仿宋-GB2312"/>
          <w:szCs w:val="28"/>
          <w:lang w:eastAsia="zh-CN"/>
        </w:rPr>
      </w:pPr>
      <w:r>
        <w:rPr>
          <w:rFonts w:hint="eastAsia" w:ascii="仿宋" w:hAnsi="仿宋" w:eastAsia="仿宋" w:cs="CESI仿宋-GB2312"/>
          <w:szCs w:val="28"/>
          <w:lang w:eastAsia="zh-CN"/>
        </w:rPr>
        <w:t>新闻业务研究</w:t>
      </w:r>
    </w:p>
    <w:p w14:paraId="5D50C165">
      <w:pPr>
        <w:keepNext w:val="0"/>
        <w:keepLines w:val="0"/>
        <w:pageBreakBefore w:val="0"/>
        <w:widowControl/>
        <w:kinsoku/>
        <w:wordWrap/>
        <w:overflowPunct/>
        <w:topLinePunct w:val="0"/>
        <w:autoSpaceDE/>
        <w:autoSpaceDN/>
        <w:bidi w:val="0"/>
        <w:adjustRightInd/>
        <w:snapToGrid/>
        <w:spacing w:line="560" w:lineRule="exact"/>
        <w:ind w:firstLine="2219" w:firstLineChars="700"/>
        <w:textAlignment w:val="auto"/>
        <w:rPr>
          <w:rFonts w:hint="eastAsia" w:ascii="黑体" w:hAnsi="黑体" w:eastAsia="黑体" w:cs="华文细黑"/>
          <w:sz w:val="32"/>
          <w:szCs w:val="32"/>
        </w:rPr>
      </w:pPr>
      <w:r>
        <w:rPr>
          <w:rFonts w:hint="eastAsia" w:ascii="黑体" w:hAnsi="黑体" w:eastAsia="黑体" w:cs="华文细黑"/>
          <w:sz w:val="32"/>
          <w:szCs w:val="32"/>
        </w:rPr>
        <w:t>融媒体时代典型报道创新研究</w:t>
      </w:r>
    </w:p>
    <w:p w14:paraId="13002F4C">
      <w:pPr>
        <w:keepNext w:val="0"/>
        <w:keepLines w:val="0"/>
        <w:pageBreakBefore w:val="0"/>
        <w:widowControl/>
        <w:kinsoku/>
        <w:wordWrap/>
        <w:overflowPunct/>
        <w:topLinePunct w:val="0"/>
        <w:autoSpaceDE/>
        <w:autoSpaceDN/>
        <w:bidi w:val="0"/>
        <w:adjustRightInd/>
        <w:snapToGrid/>
        <w:spacing w:line="560" w:lineRule="exact"/>
        <w:ind w:firstLine="2493" w:firstLineChars="900"/>
        <w:textAlignment w:val="auto"/>
        <w:rPr>
          <w:rFonts w:hint="eastAsia" w:ascii="仿宋" w:hAnsi="仿宋" w:eastAsia="仿宋" w:cs="CESI仿宋-GB2312"/>
          <w:sz w:val="28"/>
          <w:szCs w:val="28"/>
        </w:rPr>
      </w:pPr>
      <w:r>
        <w:rPr>
          <w:rFonts w:hint="eastAsia" w:ascii="仿宋" w:hAnsi="仿宋" w:eastAsia="仿宋" w:cs="CESI仿宋-GB2312"/>
          <w:sz w:val="28"/>
          <w:szCs w:val="28"/>
        </w:rPr>
        <w:t>——以</w:t>
      </w:r>
      <w:r>
        <w:rPr>
          <w:rFonts w:hint="eastAsia" w:ascii="仿宋" w:hAnsi="仿宋" w:eastAsia="仿宋" w:cs="CESI仿宋-GB2312"/>
          <w:sz w:val="28"/>
          <w:szCs w:val="28"/>
          <w:lang w:eastAsia="zh-CN"/>
        </w:rPr>
        <w:t>《</w:t>
      </w:r>
      <w:r>
        <w:rPr>
          <w:rFonts w:hint="eastAsia" w:ascii="仿宋" w:hAnsi="仿宋" w:eastAsia="仿宋" w:cs="CESI仿宋-GB2312"/>
          <w:sz w:val="28"/>
          <w:szCs w:val="28"/>
        </w:rPr>
        <w:t>“头雁”归来</w:t>
      </w:r>
      <w:r>
        <w:rPr>
          <w:rFonts w:hint="eastAsia" w:ascii="仿宋" w:hAnsi="仿宋" w:eastAsia="仿宋" w:cs="CESI仿宋-GB2312"/>
          <w:sz w:val="28"/>
          <w:szCs w:val="28"/>
          <w:lang w:eastAsia="zh-CN"/>
        </w:rPr>
        <w:t>》</w:t>
      </w:r>
      <w:r>
        <w:rPr>
          <w:rFonts w:hint="eastAsia" w:ascii="仿宋" w:hAnsi="仿宋" w:eastAsia="仿宋" w:cs="CESI仿宋-GB2312"/>
          <w:sz w:val="28"/>
          <w:szCs w:val="28"/>
        </w:rPr>
        <w:t>为例</w:t>
      </w:r>
    </w:p>
    <w:p w14:paraId="23E284DD">
      <w:pPr>
        <w:keepNext w:val="0"/>
        <w:keepLines w:val="0"/>
        <w:pageBreakBefore w:val="0"/>
        <w:widowControl/>
        <w:kinsoku/>
        <w:wordWrap/>
        <w:overflowPunct/>
        <w:topLinePunct w:val="0"/>
        <w:autoSpaceDE/>
        <w:autoSpaceDN/>
        <w:bidi w:val="0"/>
        <w:adjustRightInd/>
        <w:snapToGrid/>
        <w:spacing w:line="560" w:lineRule="exact"/>
        <w:jc w:val="center"/>
        <w:textAlignment w:val="auto"/>
        <w:rPr>
          <w:rFonts w:hint="default" w:ascii="仿宋" w:hAnsi="仿宋" w:eastAsia="仿宋" w:cs="CESI仿宋-GB2312"/>
          <w:sz w:val="24"/>
          <w:szCs w:val="24"/>
          <w:lang w:val="en-US" w:eastAsia="zh-CN"/>
        </w:rPr>
      </w:pPr>
      <w:r>
        <w:rPr>
          <w:rFonts w:hint="eastAsia" w:ascii="仿宋" w:hAnsi="仿宋" w:eastAsia="仿宋" w:cs="CESI仿宋-GB2312"/>
          <w:sz w:val="24"/>
          <w:szCs w:val="24"/>
          <w:lang w:val="en-US" w:eastAsia="zh-CN"/>
        </w:rPr>
        <w:t>祝卫明、祝馨仪</w:t>
      </w:r>
    </w:p>
    <w:p w14:paraId="2C4A2B93">
      <w:pPr>
        <w:keepNext w:val="0"/>
        <w:keepLines w:val="0"/>
        <w:pageBreakBefore w:val="0"/>
        <w:kinsoku/>
        <w:wordWrap/>
        <w:overflowPunct/>
        <w:topLinePunct w:val="0"/>
        <w:autoSpaceDE/>
        <w:autoSpaceDN/>
        <w:bidi w:val="0"/>
        <w:adjustRightInd/>
        <w:snapToGrid/>
        <w:spacing w:line="560" w:lineRule="exact"/>
        <w:textAlignment w:val="auto"/>
        <w:rPr>
          <w:rFonts w:hint="eastAsia" w:ascii="仿宋" w:hAnsi="仿宋" w:eastAsia="仿宋" w:cs="仿宋"/>
          <w:lang w:val="en-US" w:eastAsia="zh-CN"/>
        </w:rPr>
      </w:pPr>
    </w:p>
    <w:p w14:paraId="13225F5F">
      <w:pPr>
        <w:keepNext w:val="0"/>
        <w:keepLines w:val="0"/>
        <w:pageBreakBefore w:val="0"/>
        <w:kinsoku/>
        <w:wordWrap/>
        <w:overflowPunct/>
        <w:topLinePunct w:val="0"/>
        <w:autoSpaceDE/>
        <w:autoSpaceDN/>
        <w:bidi w:val="0"/>
        <w:adjustRightInd/>
        <w:snapToGrid/>
        <w:spacing w:line="560" w:lineRule="exact"/>
        <w:textAlignment w:val="auto"/>
        <w:rPr>
          <w:rFonts w:hint="eastAsia" w:ascii="仿宋" w:hAnsi="仿宋" w:eastAsia="仿宋" w:cs="仿宋"/>
          <w:lang w:val="en-US" w:eastAsia="zh-CN"/>
        </w:rPr>
      </w:pPr>
      <w:r>
        <w:rPr>
          <w:rFonts w:hint="eastAsia" w:ascii="仿宋" w:hAnsi="仿宋" w:eastAsia="仿宋" w:cs="仿宋"/>
          <w:lang w:val="en-US" w:eastAsia="zh-CN"/>
        </w:rPr>
        <w:t>【摘 要】</w:t>
      </w:r>
    </w:p>
    <w:p w14:paraId="2D950343">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随着融媒时代的到来，新闻报道的形式和内容发生了深刻变化。本文以江西鹰潭市融媒体中心《“头雁” 归来》为例，探讨融媒体时代典型报道的创新路径。通过分析该报道的融媒体表现形式、内容创新及传播效果，总结 了融媒体时代典型报道的创新策略，包括多平台联动、互动性增强、内容深度挖掘等。研究表明，融媒时代典型报道的 创新需要充分利用媒体融合优势，增强与受众的互动，并通过深度内容挖掘提升报道价值。本文的研究为未来典型报 道的创新提供了理论支持和实践参考。 </w:t>
      </w:r>
    </w:p>
    <w:p w14:paraId="7E68CFED">
      <w:pPr>
        <w:keepNext w:val="0"/>
        <w:keepLines w:val="0"/>
        <w:pageBreakBefore w:val="0"/>
        <w:kinsoku/>
        <w:wordWrap/>
        <w:overflowPunct/>
        <w:topLinePunct w:val="0"/>
        <w:autoSpaceDE/>
        <w:autoSpaceDN/>
        <w:bidi w:val="0"/>
        <w:adjustRightInd/>
        <w:snapToGrid/>
        <w:spacing w:line="560" w:lineRule="exact"/>
        <w:textAlignment w:val="auto"/>
        <w:rPr>
          <w:rFonts w:hint="eastAsia" w:ascii="仿宋" w:hAnsi="仿宋" w:eastAsia="仿宋" w:cs="仿宋"/>
          <w:lang w:val="en-US" w:eastAsia="zh-CN"/>
        </w:rPr>
      </w:pPr>
      <w:r>
        <w:rPr>
          <w:rFonts w:hint="eastAsia" w:ascii="仿宋" w:hAnsi="仿宋" w:eastAsia="仿宋" w:cs="仿宋"/>
          <w:lang w:val="en-US" w:eastAsia="zh-CN"/>
        </w:rPr>
        <w:t>【关键词】</w:t>
      </w:r>
    </w:p>
    <w:p w14:paraId="72C7B211">
      <w:pPr>
        <w:keepNext w:val="0"/>
        <w:keepLines w:val="0"/>
        <w:pageBreakBefore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lang w:val="en-US" w:eastAsia="zh-CN"/>
        </w:rPr>
      </w:pPr>
      <w:r>
        <w:rPr>
          <w:rFonts w:hint="eastAsia" w:ascii="仿宋" w:hAnsi="仿宋" w:eastAsia="仿宋" w:cs="仿宋"/>
          <w:lang w:val="en-US" w:eastAsia="zh-CN"/>
        </w:rPr>
        <w:t>融媒时代；典型报道；创新；多平台联动</w:t>
      </w:r>
    </w:p>
    <w:p w14:paraId="6FDF3EF1">
      <w:pPr>
        <w:keepNext w:val="0"/>
        <w:keepLines w:val="0"/>
        <w:pageBreakBefore w:val="0"/>
        <w:kinsoku/>
        <w:wordWrap/>
        <w:overflowPunct/>
        <w:topLinePunct w:val="0"/>
        <w:autoSpaceDE/>
        <w:autoSpaceDN/>
        <w:bidi w:val="0"/>
        <w:adjustRightInd/>
        <w:snapToGrid/>
        <w:spacing w:line="560" w:lineRule="exact"/>
        <w:textAlignment w:val="auto"/>
        <w:rPr>
          <w:rFonts w:hint="eastAsia" w:ascii="仿宋" w:hAnsi="仿宋" w:eastAsia="仿宋" w:cs="仿宋"/>
          <w:lang w:val="en-US" w:eastAsia="zh-CN"/>
        </w:rPr>
      </w:pPr>
    </w:p>
    <w:p w14:paraId="5EA86A37">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rPr>
        <w:t>在</w:t>
      </w:r>
      <w:r>
        <w:rPr>
          <w:rFonts w:hint="eastAsia" w:ascii="仿宋" w:hAnsi="仿宋" w:eastAsia="仿宋" w:cs="仿宋"/>
          <w:lang w:val="en-US" w:eastAsia="zh-CN"/>
        </w:rPr>
        <w:t>信息技术飞速发展的当下，融媒时代已全面来临。互联网、移动终端等新兴技术的广泛应用，深刻改变了信息的传播格局与人们获取信息的方式。传统媒体与新媒体之间的界限逐渐模糊，融合发展成为大势所趋。典型报道作为新闻报道的重要形式之一，长期以来在宣传先进典型、弘扬时代精神、引导社会舆论等方面发挥着关键作用。然而，在融媒时代，受众的信息需求日益多样化、个性化，传播环境变得更为复杂和多元，典型报道面临着新的挑战和机遇。如何在融媒时代实现创新发展，提升传播效果，成为新闻工作者亟待解决的重要课题。</w:t>
      </w:r>
    </w:p>
    <w:p w14:paraId="5BEEFF51">
      <w:pPr>
        <w:keepNext w:val="0"/>
        <w:keepLines w:val="0"/>
        <w:pageBreakBefore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b/>
          <w:bCs/>
        </w:rPr>
      </w:pPr>
      <w:r>
        <w:rPr>
          <w:rFonts w:hint="eastAsia" w:ascii="仿宋" w:hAnsi="仿宋" w:eastAsia="仿宋" w:cs="仿宋"/>
          <w:b/>
          <w:bCs/>
          <w:lang w:val="en-US" w:eastAsia="zh-CN"/>
        </w:rPr>
        <w:t xml:space="preserve">一、典型报道《“头雁”归来》概述 </w:t>
      </w:r>
    </w:p>
    <w:p w14:paraId="2CE4750D">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lang w:val="en-US" w:eastAsia="zh-CN"/>
        </w:rPr>
      </w:pPr>
      <w:r>
        <w:rPr>
          <w:rFonts w:hint="eastAsia" w:ascii="仿宋" w:hAnsi="仿宋" w:eastAsia="仿宋" w:cs="仿宋"/>
          <w:lang w:val="en-US" w:eastAsia="zh-CN"/>
        </w:rPr>
        <w:t>典型报道《“头雁”归来》讲述了优秀共产党员童火才响应家乡号召，不当民企董事长，回乡当一名村干部，充分发挥党组织战斗堡垒和归乡“领头雁”作用，带领家乡人民改变村庄面貌、增收致富、促进城乡共同发展的感人故事，展现出中国乡村振兴、一派欣欣向荣的崭新气象。在童火才的带领下，鹰潭市余江区中童镇乘龙村从过去的全市“后进村”到如今的全国“示范点”，每年接待全国各地考察团100多批次。为了发掘宣传好这一重大典型，记者耗时8个多月时间、蹲点乘龙村进行“沉浸式”跟踪采访，拍摄视频素材1000多G，亲眼见证了童火才带领干部群众克难攻坚的感人故事、真实记录了全市“后进村”变全国“示范村”的改革奇迹，作品历经27次补充完善、反复打磨终于定稿。该作品成功塑造了一个信念坚定、为民服务、勤政务实、敢于担当、清正廉</w:t>
      </w:r>
      <w:bookmarkStart w:id="0" w:name="_GoBack"/>
      <w:bookmarkEnd w:id="0"/>
      <w:r>
        <w:rPr>
          <w:rFonts w:hint="eastAsia" w:ascii="仿宋" w:hAnsi="仿宋" w:eastAsia="仿宋" w:cs="仿宋"/>
          <w:lang w:val="en-US" w:eastAsia="zh-CN"/>
        </w:rPr>
        <w:t>洁的新时期好干部形象，一个热爱家乡、奉献桑梓、朴实无华、有血有肉的村党支部书记形象。作品内容翔实、由点及面、见人见事，在“学习强国”、江西广播电视台“今视频”、鹰潭日报、鹰潭市广播电视台“说不尽的鹰潭”、“鹰视天下”客户端、“天天鹰潭”微信公众号等各级主流媒体刊发转发，社会反响强烈。</w:t>
      </w:r>
    </w:p>
    <w:p w14:paraId="03AD960F">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该作品题材重大、主题鲜明、立意深远、层次分明。在选题上，通过小切口、平视角方式，巧妙反映了在全国上下深入贯彻党的二十届三中全会精神、推动进一步深化改革走深走实的时代潮流中，首批国家城乡融合发展试验区建设在江西鹰潭落地落实的重大典型。在内容上，人物鲜活、故事生动、情感饱满、细节丰富，极富感染力。该作品传播广泛、感人至深，反响积极、影响深远，不仅成功塑造了新时期好干部、好支书形象，还积极推广了鹰潭先行先试取得的宝贵改革经验。《“头雁”归来》广播专题获2024年度江西广播电视奖二等奖；电视专题获2024年度江西广播电视奖二等奖；报告文学获第二十七届江西报刊网络新闻奖三等奖。 </w:t>
      </w:r>
    </w:p>
    <w:p w14:paraId="6B648BB6">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b/>
          <w:bCs/>
        </w:rPr>
      </w:pPr>
      <w:r>
        <w:rPr>
          <w:rFonts w:hint="eastAsia" w:ascii="仿宋" w:hAnsi="仿宋" w:eastAsia="仿宋" w:cs="仿宋"/>
          <w:b/>
          <w:bCs/>
          <w:lang w:val="en-US" w:eastAsia="zh-CN"/>
        </w:rPr>
        <w:t xml:space="preserve">二、《“头雁”归来》的融媒创新实践 </w:t>
      </w:r>
    </w:p>
    <w:p w14:paraId="379CFD92">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楷体" w:hAnsi="楷体" w:eastAsia="楷体" w:cs="楷体"/>
          <w:b w:val="0"/>
          <w:bCs w:val="0"/>
        </w:rPr>
      </w:pPr>
      <w:r>
        <w:rPr>
          <w:rFonts w:hint="eastAsia" w:ascii="楷体" w:hAnsi="楷体" w:eastAsia="楷体" w:cs="楷体"/>
          <w:b w:val="0"/>
          <w:bCs w:val="0"/>
          <w:lang w:val="en-US" w:eastAsia="zh-CN"/>
        </w:rPr>
        <w:t xml:space="preserve">（一）多平台报道 </w:t>
      </w:r>
    </w:p>
    <w:p w14:paraId="7989DA1E">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头雁”归来》作为典型报道，进行了形式创新，依托鹰潭市融媒体中心“中央厨房”模式，实现内容“一次采集、多元生成、全平台覆盖”，形成报纸、电视、广播、网络多平台联动，差异化内容生产、部门协同发力、跨平台推广的传播格局。通过“学习强国”“鹰潭日报”等主流平台分发，扩大覆盖面。电视专题、广播专题在鹰潭市广播电视台播出后，“天天鹰潭”微信公众号、“今视频”“鹰视天下”客户端同步推出精华片段，引导用户参与互动。 </w:t>
      </w:r>
    </w:p>
    <w:p w14:paraId="57F9F096">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报纸以人物通讯形式深挖人物精神。如：以“最真挚情感”干在建设第一线、下“最大的决心”冲在改革最前沿、以“最大的魄力”战在发展最难时、用“最有效举措”谋在群众心坎上等小板块，深入挖掘典型人物童火才背后的故事和价值，拓展了内容深度。 </w:t>
      </w:r>
    </w:p>
    <w:p w14:paraId="42FB1143">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电视专题结合沙画、航拍和现场访谈增强视觉冲击力。报道将人、事、情巧妙融合，通过细节描写、矛盾冲突、人物对话等手法增强感染力，避免说教化，体现出报道策划的精妙构思及以小见大的主题映射。 </w:t>
      </w:r>
    </w:p>
    <w:p w14:paraId="55A6FA23">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广播通过故事化叙事传递情感。主持人通过讲故事的方式，娓娓道来，讲述童火才不当企业董事长，回乡当村干部，带领家乡人民改变村庄面貌、增收致富的感人故事。文中多处穿插现场声，增强了节目现场感和真实性。背景声的烘托，也恰好体现了广播的优势。 </w:t>
      </w:r>
    </w:p>
    <w:p w14:paraId="07DB9ABA">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网络平台以短视频、图文等形式快速触达用户。借助江西广播电视台“今视频”、“鹰视天下”客户端、“天天鹰潭”微信公众号等社交媒体平台，实现与受众的互动和交流，及时获取受众的意见和反馈；受众通过评论、点赞等社交行为表达自己的观点和意见，与新闻媒体实现交流和对话，促进新闻内容的改变和优化。 </w:t>
      </w:r>
    </w:p>
    <w:p w14:paraId="0470F887">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楷体" w:hAnsi="楷体" w:eastAsia="楷体" w:cs="楷体"/>
          <w:b w:val="0"/>
          <w:bCs w:val="0"/>
        </w:rPr>
      </w:pPr>
      <w:r>
        <w:rPr>
          <w:rFonts w:hint="eastAsia" w:ascii="楷体" w:hAnsi="楷体" w:eastAsia="楷体" w:cs="楷体"/>
          <w:b w:val="0"/>
          <w:bCs w:val="0"/>
          <w:lang w:val="en-US" w:eastAsia="zh-CN"/>
        </w:rPr>
        <w:t xml:space="preserve">（二）互动性增强 </w:t>
      </w:r>
    </w:p>
    <w:p w14:paraId="1E1F88AF">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新媒体时代，受众对单向灌输式宣传容易产生审美疲劳。为了增强与受众的互动，为打破传统典型报道的说教模式，《“头雁”归来》采取了多种措施。网络媒体通过社交媒体互动、线下活动延伸等方式提升受众参与感。例如在“天天鹰潭”微信公众号发表文章后，针对鹰潭市余江区中童镇乘龙村艾家组应该如何打造设置话题，鼓励读者分享自己家乡类似的做法，吸引众多读者积极留言，交流热烈。同时，设置话题，收集读者的意见和建议。如针对童火才引入的羊肚菌种植产业发展模式是否具有可推广性开展讨论。此外，线下组织召开村民座谈会，邀请童火才与受众面对面交流，听取受众和当地村民对于村庄建设、产业发展方向的意见建议，大量受众参与其中，为报道后续的深入及方向调整提供了有力参考。 </w:t>
      </w:r>
    </w:p>
    <w:p w14:paraId="7A9B6B7F">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楷体" w:hAnsi="楷体" w:eastAsia="楷体" w:cs="楷体"/>
          <w:b w:val="0"/>
          <w:bCs w:val="0"/>
        </w:rPr>
      </w:pPr>
      <w:r>
        <w:rPr>
          <w:rFonts w:hint="eastAsia" w:ascii="楷体" w:hAnsi="楷体" w:eastAsia="楷体" w:cs="楷体"/>
          <w:b w:val="0"/>
          <w:bCs w:val="0"/>
          <w:lang w:val="en-US" w:eastAsia="zh-CN"/>
        </w:rPr>
        <w:t xml:space="preserve">（三）内容深度挖掘 </w:t>
      </w:r>
    </w:p>
    <w:p w14:paraId="3CC225E0">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头雁”归来》记者通过沉浸式采访，蹲点8个月，记录1000多G视频素材。文稿采取故事化叙事与宏观视角结合，在挖掘细节方面下足了功夫，展现人物真实性与改革艰辛。通过多次深入交流，挖掘他背后的思想动机和价值观念，他虽然在外打拼多年取得成功，但内心深处始终怀揣着对家乡的热爱和对乡亲的责任，这种情感驱动是他毅然回乡的根本原因。文稿还进行了背景拓展，让读者能够从更宏观的角度认识童火才回报家乡的行为。介绍了鹰潭市作为国家城乡融合发展试验区的政策背景、乘龙村发展的历史困境以及全国乡村振兴的大趋势，让读者明白童火才的行动是在时代大背景下的积极响应与探索，更加凸显了改革意义。将童火才的创业、实施和美乡村建设、产业发展的过程分解成一个个生动的小故事，使报道更具吸引力和感染力。如讲述拆除童火才大嫂家房屋时的矛盾冲突以及后续童火才的处理方式，展现了他在推进工作中的艰难与坚持，让读者深刻感受到乡村建设工作的复杂性以及童火才的担当精神。 </w:t>
      </w:r>
    </w:p>
    <w:p w14:paraId="47C068D6">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b/>
          <w:bCs/>
        </w:rPr>
      </w:pPr>
      <w:r>
        <w:rPr>
          <w:rFonts w:hint="eastAsia" w:ascii="仿宋" w:hAnsi="仿宋" w:eastAsia="仿宋" w:cs="仿宋"/>
          <w:b/>
          <w:bCs/>
          <w:lang w:val="en-US" w:eastAsia="zh-CN"/>
        </w:rPr>
        <w:t xml:space="preserve">三、融媒时代典型报道的创新策略 </w:t>
      </w:r>
    </w:p>
    <w:p w14:paraId="25120428">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楷体" w:hAnsi="楷体" w:eastAsia="楷体" w:cs="楷体"/>
          <w:b w:val="0"/>
          <w:bCs w:val="0"/>
          <w:lang w:val="en-US" w:eastAsia="zh-CN"/>
        </w:rPr>
        <w:t>（一）多平台联动策略</w:t>
      </w:r>
      <w:r>
        <w:rPr>
          <w:rFonts w:hint="eastAsia" w:ascii="仿宋" w:hAnsi="仿宋" w:eastAsia="仿宋" w:cs="仿宋"/>
          <w:lang w:val="en-US" w:eastAsia="zh-CN"/>
        </w:rPr>
        <w:t xml:space="preserve"> </w:t>
      </w:r>
    </w:p>
    <w:p w14:paraId="5C1B73D9">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整合媒体资源，建立统一的融媒内容生产和传播平台。不同媒体平台各自为战的传统模式在融媒体时代已难以适应发展需求，需打造一个涵盖报纸、电视、广播、网络等多平台的内容生产中枢，实现信息的集中采集、编辑与分发。鹰潭市融媒体中心建立了“中央厨房”式的内容生产平台，记者采集的素材统一汇聚于此，根据不同平台特点进行加工处理后分发至各渠道，提高了生产效率与资源利用率。各平台根据自身的特点和受众需求，制作差异化的内容。要利用不同平台之间的联动效应，进行跨平台传播推广。报纸适合深度报道，可推出长篇幅、逻辑严谨的文章；电视凭借画面与声音优势，制作生动直观的视频报道；广播则以音频形式，打造便于听众在移动场景中收听的节目；网络平台注重互动性与及时性，可发布实时动态、开展线上活动和短视频等。 </w:t>
      </w:r>
    </w:p>
    <w:p w14:paraId="517E2F71">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楷体" w:hAnsi="楷体" w:eastAsia="楷体" w:cs="楷体"/>
          <w:b w:val="0"/>
          <w:bCs w:val="0"/>
        </w:rPr>
      </w:pPr>
      <w:r>
        <w:rPr>
          <w:rFonts w:hint="eastAsia" w:ascii="楷体" w:hAnsi="楷体" w:eastAsia="楷体" w:cs="楷体"/>
          <w:b w:val="0"/>
          <w:bCs w:val="0"/>
          <w:lang w:val="en-US" w:eastAsia="zh-CN"/>
        </w:rPr>
        <w:t xml:space="preserve">（二）互动性增强策略 </w:t>
      </w:r>
    </w:p>
    <w:p w14:paraId="448E3032">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建立互动机制，制定完善的互动规则和流程。明确规定在互动过程中各方的权利与义务、互动话题的设置原则、用户反馈的处理方式等，确保互动活动有序进行。例如“天天鹰潭”客户端制定了详细的用户评论管理规则，对不当言论进行及时处理，同时对优质评论给予奖励，营造了良好的互动氛围。加强新媒体从业人员互动意识培训。通过组织培训课程、开展案例分析等方式，使其认识到互动在融媒时代报道中的重要性，掌握与受众有效互动的技巧与方法，提升新媒体从业人员与受众沟通交流的能力，使其能够及时、准确回应受众关切。记者通过受众留言等提炼用户观点融入报道。探索新的互动形式。举办线上投票、线下座谈会相结合的活动，让受众既能在网络上表达观点，又能在现实中让新闻工作者与报道对象面对面交流。 </w:t>
      </w:r>
    </w:p>
    <w:p w14:paraId="33C8A7AF">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楷体" w:hAnsi="楷体" w:eastAsia="楷体" w:cs="楷体"/>
          <w:b w:val="0"/>
          <w:bCs w:val="0"/>
        </w:rPr>
      </w:pPr>
      <w:r>
        <w:rPr>
          <w:rFonts w:hint="eastAsia" w:ascii="楷体" w:hAnsi="楷体" w:eastAsia="楷体" w:cs="楷体"/>
          <w:b w:val="0"/>
          <w:bCs w:val="0"/>
          <w:lang w:val="en-US" w:eastAsia="zh-CN"/>
        </w:rPr>
        <w:t xml:space="preserve">（三）内容深度挖掘策略 </w:t>
      </w:r>
    </w:p>
    <w:p w14:paraId="6A56B48D">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lang w:val="en-US" w:eastAsia="zh-CN"/>
        </w:rPr>
        <w:t xml:space="preserve">长期跟踪报道，可以持续观察捕捉动态进展。与报道对象进行长时间、近距离的接触，全面了解其事迹和背景。记者深入报道对象的生活与工作环境，与他们建立良好的信任关系，可以挖掘那些不为人知但能反映人物本质与事件的核心细节。例如在报道童火才离开家乡37年，受到家乡的党委、政府邀请，当时正是童火才的房地产公司发展最好的时期，为改变家乡面貌，他毅然辞去公司董事长的职务，回乡做一名村干部，全面展现了他热爱家乡、奉献桑梓、淳朴善良、担当作为的村党支部书记形象和无私奉献的精神。典型报道可采取多维叙事，结合数据、历史资料等增强说服力。广泛收集与报道主题相关的历史资料、政策文件等，对这些资料进行系统分析整合，从宏观层面把握报道主题的背景与意义。采用倒叙、插叙等多样化的叙事手法，增强报道的故事性和吸引力。要设置悬念，吸引受众注意力。要更加注重人性化表达，不回避缺点，不过度美化，生动展现典型的真实性与复杂性，避免神化，削弱媒体的公信力。 </w:t>
      </w:r>
    </w:p>
    <w:p w14:paraId="1CD6AF48">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rPr>
      </w:pPr>
      <w:r>
        <w:rPr>
          <w:rFonts w:hint="eastAsia" w:ascii="仿宋" w:hAnsi="仿宋" w:eastAsia="仿宋" w:cs="仿宋"/>
          <w:b/>
          <w:bCs/>
          <w:lang w:val="en-US" w:eastAsia="zh-CN"/>
        </w:rPr>
        <w:t>结语：</w:t>
      </w:r>
      <w:r>
        <w:rPr>
          <w:rFonts w:hint="eastAsia" w:ascii="仿宋" w:hAnsi="仿宋" w:eastAsia="仿宋" w:cs="仿宋"/>
          <w:lang w:val="en-US" w:eastAsia="zh-CN"/>
        </w:rPr>
        <w:t xml:space="preserve"> </w:t>
      </w:r>
    </w:p>
    <w:p w14:paraId="4CC64FE6">
      <w:pPr>
        <w:keepNext w:val="0"/>
        <w:keepLines w:val="0"/>
        <w:pageBreakBefore w:val="0"/>
        <w:widowControl w:val="0"/>
        <w:kinsoku/>
        <w:wordWrap/>
        <w:overflowPunct/>
        <w:topLinePunct w:val="0"/>
        <w:autoSpaceDE/>
        <w:autoSpaceDN/>
        <w:bidi w:val="0"/>
        <w:adjustRightInd/>
        <w:snapToGrid/>
        <w:spacing w:line="560" w:lineRule="exact"/>
        <w:ind w:firstLine="554" w:firstLineChars="200"/>
        <w:textAlignment w:val="auto"/>
        <w:rPr>
          <w:rFonts w:hint="eastAsia" w:ascii="仿宋" w:hAnsi="仿宋" w:eastAsia="仿宋" w:cs="仿宋"/>
          <w:lang w:val="en-US" w:eastAsia="zh-CN"/>
        </w:rPr>
      </w:pPr>
      <w:r>
        <w:rPr>
          <w:rFonts w:hint="eastAsia" w:ascii="仿宋" w:hAnsi="仿宋" w:eastAsia="仿宋" w:cs="仿宋"/>
          <w:lang w:val="en-US" w:eastAsia="zh-CN"/>
        </w:rPr>
        <w:t>《“头雁”归来》的融媒报道创新实践为未来典型报道的创新提供了有益的借鉴。在今后的典型报道中，新闻工作者应充分认识融媒时代的特点和要求，积极采取创新策略，不断提升典型报道的质量和影响力，更好地发挥典型报道在宣传先进典型、弘扬时代精神、引导社会舆论等方面的重要作用，为推动社会发展与进步贡献力量。</w:t>
      </w:r>
    </w:p>
    <w:sectPr>
      <w:pgSz w:w="11906" w:h="16838"/>
      <w:pgMar w:top="1440" w:right="1797" w:bottom="1440" w:left="1797" w:header="851" w:footer="992" w:gutter="0"/>
      <w:paperSrc/>
      <w:cols w:space="0" w:num="1"/>
      <w:rtlGutter w:val="0"/>
      <w:docGrid w:type="linesAndChars" w:linePitch="410" w:charSpace="-64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中宋">
    <w:panose1 w:val="02010600040101010101"/>
    <w:charset w:val="86"/>
    <w:family w:val="auto"/>
    <w:pitch w:val="default"/>
    <w:sig w:usb0="00000287" w:usb1="080F0000" w:usb2="00000000" w:usb3="00000000" w:csb0="0004009F" w:csb1="DFD7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CESI仿宋-GB2312">
    <w:altName w:val="仿宋"/>
    <w:panose1 w:val="02000500000000000000"/>
    <w:charset w:val="86"/>
    <w:family w:val="auto"/>
    <w:pitch w:val="default"/>
    <w:sig w:usb0="00000000" w:usb1="00000000" w:usb2="00000010" w:usb3="00000000" w:csb0="0004000F" w:csb1="0000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80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5"/>
  <w:embedSystemFonts/>
  <w:bordersDoNotSurroundHeader w:val="0"/>
  <w:bordersDoNotSurroundFooter w:val="0"/>
  <w:documentProtection w:enforcement="0"/>
  <w:defaultTabStop w:val="420"/>
  <w:drawingGridHorizontalSpacing w:val="138"/>
  <w:drawingGridVerticalSpacing w:val="205"/>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20C3786"/>
    <w:rsid w:val="0A88590B"/>
    <w:rsid w:val="19B75794"/>
    <w:rsid w:val="1ACA018D"/>
    <w:rsid w:val="1D6B494E"/>
    <w:rsid w:val="22617B2B"/>
    <w:rsid w:val="27A655F5"/>
    <w:rsid w:val="300039B1"/>
    <w:rsid w:val="34316ACF"/>
    <w:rsid w:val="3B9C1EA7"/>
    <w:rsid w:val="40952CCA"/>
    <w:rsid w:val="458F0387"/>
    <w:rsid w:val="46ED11DB"/>
    <w:rsid w:val="50DB4BC4"/>
    <w:rsid w:val="52754E16"/>
    <w:rsid w:val="591433D5"/>
    <w:rsid w:val="5F6C01B6"/>
    <w:rsid w:val="60D07D7A"/>
    <w:rsid w:val="620C3786"/>
    <w:rsid w:val="64DC3505"/>
    <w:rsid w:val="68D84ACD"/>
    <w:rsid w:val="6D154D66"/>
    <w:rsid w:val="6E146F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Ascii" w:hAnsiTheme="minorAscii" w:eastAsiaTheme="minorEastAsia" w:cstheme="minorBidi"/>
      <w:kern w:val="2"/>
      <w:sz w:val="28"/>
      <w:szCs w:val="22"/>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13</Pages>
  <Words>4714</Words>
  <Characters>4771</Characters>
  <Lines>0</Lines>
  <Paragraphs>0</Paragraphs>
  <TotalTime>37</TotalTime>
  <ScaleCrop>false</ScaleCrop>
  <LinksUpToDate>false</LinksUpToDate>
  <CharactersWithSpaces>4893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2026-01-08T07:12:00Z</dcterms:created>
  <dc:creator>浪里淘金</dc:creator>
  <cp:lastModifiedBy>WPS_307671597</cp:lastModifiedBy>
  <dcterms:modified xsi:type="dcterms:W3CDTF">2026-01-15T05:02:50Z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6F8F26EB3FBC426F95FC32921B872E66_11</vt:lpwstr>
  </property>
  <property fmtid="{D5CDD505-2E9C-101B-9397-08002B2CF9AE}" pid="4" name="KSOTemplateDocerSaveRecord">
    <vt:lpwstr>eyJoZGlkIjoiMGQ1NzBhNzEzMzI3N2ZjOWU0YmEwZDk5NmZkMTkyYTMiLCJ1c2VySWQiOiIzMDc2NzE1OTcifQ==</vt:lpwstr>
  </property>
</Properties>
</file>